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03AD" w14:textId="77777777" w:rsidR="00BF6118" w:rsidRPr="00BF6118" w:rsidRDefault="00BF6118" w:rsidP="00BF6118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5"/>
          <w:lang w:val="bs"/>
          <w14:ligatures w14:val="none"/>
        </w:rPr>
      </w:pPr>
    </w:p>
    <w:p w14:paraId="4C03E93A" w14:textId="77777777" w:rsidR="00BF6118" w:rsidRPr="00BF6118" w:rsidRDefault="00BF6118" w:rsidP="00BF6118">
      <w:pPr>
        <w:widowControl w:val="0"/>
        <w:autoSpaceDE w:val="0"/>
        <w:autoSpaceDN w:val="0"/>
        <w:spacing w:before="100" w:after="5"/>
        <w:ind w:left="811" w:right="7504"/>
        <w:jc w:val="center"/>
        <w:rPr>
          <w:rFonts w:ascii="Arial Black" w:eastAsia="Times New Roman" w:hAnsi="Arial Black" w:cs="Times New Roman"/>
          <w:kern w:val="0"/>
          <w:sz w:val="17"/>
          <w:lang w:val="bs"/>
          <w14:ligatures w14:val="none"/>
        </w:rPr>
      </w:pPr>
      <w:r w:rsidRPr="00BF6118">
        <w:rPr>
          <w:rFonts w:ascii="Arial Black" w:eastAsia="Times New Roman" w:hAnsi="Arial Black" w:cs="Times New Roman"/>
          <w:color w:val="1F1F1F"/>
          <w:w w:val="55"/>
          <w:kern w:val="0"/>
          <w:sz w:val="17"/>
          <w:lang w:val="bs"/>
          <w14:ligatures w14:val="none"/>
        </w:rPr>
        <w:t>JAVłlA</w:t>
      </w:r>
      <w:r w:rsidRPr="00BF6118">
        <w:rPr>
          <w:rFonts w:ascii="Arial Black" w:eastAsia="Times New Roman" w:hAnsi="Arial Black" w:cs="Times New Roman"/>
          <w:color w:val="1F1F1F"/>
          <w:spacing w:val="13"/>
          <w:w w:val="55"/>
          <w:kern w:val="0"/>
          <w:sz w:val="17"/>
          <w:lang w:val="bs"/>
          <w14:ligatures w14:val="none"/>
        </w:rPr>
        <w:t xml:space="preserve"> </w:t>
      </w:r>
      <w:r w:rsidRPr="00BF6118">
        <w:rPr>
          <w:rFonts w:ascii="Arial Black" w:eastAsia="Times New Roman" w:hAnsi="Arial Black" w:cs="Times New Roman"/>
          <w:color w:val="1F1F1F"/>
          <w:w w:val="55"/>
          <w:kern w:val="0"/>
          <w:sz w:val="17"/>
          <w:lang w:val="bs"/>
          <w14:ligatures w14:val="none"/>
        </w:rPr>
        <w:t>YAT80GãSNã</w:t>
      </w:r>
      <w:r w:rsidRPr="00BF6118">
        <w:rPr>
          <w:rFonts w:ascii="Arial Black" w:eastAsia="Times New Roman" w:hAnsi="Arial Black" w:cs="Times New Roman"/>
          <w:color w:val="1F1F1F"/>
          <w:spacing w:val="12"/>
          <w:w w:val="55"/>
          <w:kern w:val="0"/>
          <w:sz w:val="17"/>
          <w:lang w:val="bs"/>
          <w14:ligatures w14:val="none"/>
        </w:rPr>
        <w:t xml:space="preserve"> </w:t>
      </w:r>
      <w:r w:rsidRPr="00BF6118">
        <w:rPr>
          <w:rFonts w:ascii="Arial Black" w:eastAsia="Times New Roman" w:hAnsi="Arial Black" w:cs="Times New Roman"/>
          <w:color w:val="1F1F1F"/>
          <w:w w:val="55"/>
          <w:kern w:val="0"/>
          <w:sz w:val="17"/>
          <w:lang w:val="bs"/>
          <w14:ligatures w14:val="none"/>
        </w:rPr>
        <w:t>POSTROJBA</w:t>
      </w:r>
    </w:p>
    <w:p w14:paraId="4D1726B1" w14:textId="77777777" w:rsidR="00BF6118" w:rsidRPr="00BF6118" w:rsidRDefault="00BF6118" w:rsidP="00BF6118">
      <w:pPr>
        <w:widowControl w:val="0"/>
        <w:autoSpaceDE w:val="0"/>
        <w:autoSpaceDN w:val="0"/>
        <w:ind w:left="1200"/>
        <w:rPr>
          <w:rFonts w:ascii="Arial Black" w:eastAsia="Times New Roman" w:hAnsi="Times New Roman" w:cs="Times New Roman"/>
          <w:kern w:val="0"/>
          <w:sz w:val="20"/>
          <w:szCs w:val="25"/>
          <w:lang w:val="bs"/>
          <w14:ligatures w14:val="none"/>
        </w:rPr>
      </w:pPr>
      <w:r w:rsidRPr="00BF6118">
        <w:rPr>
          <w:rFonts w:ascii="Arial Black" w:eastAsia="Times New Roman" w:hAnsi="Times New Roman" w:cs="Times New Roman"/>
          <w:noProof/>
          <w:kern w:val="0"/>
          <w:sz w:val="20"/>
          <w:szCs w:val="25"/>
          <w:lang w:val="bs"/>
          <w14:ligatures w14:val="none"/>
        </w:rPr>
        <w:drawing>
          <wp:inline distT="0" distB="0" distL="0" distR="0" wp14:anchorId="2FD3520D" wp14:editId="33F198C8">
            <wp:extent cx="658367" cy="548640"/>
            <wp:effectExtent l="0" t="0" r="0" b="0"/>
            <wp:docPr id="1" name="image1.jpeg" descr="Slika na kojoj se prikazuje skeč, crtež, tekst, kacig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lika na kojoj se prikazuje skeč, crtež, tekst, kaciga&#10;&#10;Opis je automatski generiran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3F3A" w14:textId="77777777" w:rsidR="00BF6118" w:rsidRPr="00BF6118" w:rsidRDefault="00BF6118" w:rsidP="00BF6118">
      <w:pPr>
        <w:widowControl w:val="0"/>
        <w:autoSpaceDE w:val="0"/>
        <w:autoSpaceDN w:val="0"/>
        <w:spacing w:before="28"/>
        <w:ind w:left="811" w:right="7502"/>
        <w:jc w:val="center"/>
        <w:rPr>
          <w:rFonts w:ascii="Times New Roman" w:eastAsia="Times New Roman" w:hAnsi="Times New Roman" w:cs="Times New Roman"/>
          <w:kern w:val="0"/>
          <w:sz w:val="17"/>
          <w:lang w:val="bs"/>
          <w14:ligatures w14:val="none"/>
        </w:rPr>
      </w:pPr>
      <w:r w:rsidRPr="00BF6118">
        <w:rPr>
          <w:rFonts w:ascii="Times New Roman" w:eastAsia="Times New Roman" w:hAnsi="Times New Roman" w:cs="Times New Roman"/>
          <w:color w:val="1F1F1F"/>
          <w:w w:val="80"/>
          <w:kern w:val="0"/>
          <w:sz w:val="17"/>
          <w:lang w:val="bs"/>
          <w14:ligatures w14:val="none"/>
        </w:rPr>
        <w:t>0PCÍ8fi</w:t>
      </w:r>
      <w:r w:rsidRPr="00BF6118">
        <w:rPr>
          <w:rFonts w:ascii="Times New Roman" w:eastAsia="Times New Roman" w:hAnsi="Times New Roman" w:cs="Times New Roman"/>
          <w:color w:val="1F1F1F"/>
          <w:spacing w:val="21"/>
          <w:w w:val="80"/>
          <w:kern w:val="0"/>
          <w:sz w:val="17"/>
          <w:lang w:val="bs"/>
          <w14:ligatures w14:val="none"/>
        </w:rPr>
        <w:t xml:space="preserve"> </w:t>
      </w:r>
      <w:r w:rsidRPr="00BF6118">
        <w:rPr>
          <w:rFonts w:ascii="Times New Roman" w:eastAsia="Times New Roman" w:hAnsi="Times New Roman" w:cs="Times New Roman"/>
          <w:color w:val="1F1F1F"/>
          <w:w w:val="80"/>
          <w:kern w:val="0"/>
          <w:sz w:val="17"/>
          <w:lang w:val="bs"/>
          <w14:ligatures w14:val="none"/>
        </w:rPr>
        <w:t>P00$Ißåfíïì</w:t>
      </w:r>
    </w:p>
    <w:p w14:paraId="4B6A4F43" w14:textId="77777777" w:rsidR="00BF6118" w:rsidRPr="00BF6118" w:rsidRDefault="00BF6118" w:rsidP="00BF6118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5"/>
          <w:lang w:val="bs"/>
          <w14:ligatures w14:val="none"/>
        </w:rPr>
      </w:pPr>
    </w:p>
    <w:p w14:paraId="486FAA36" w14:textId="1484C8CE" w:rsidR="00BF6118" w:rsidRPr="00BF6118" w:rsidRDefault="00BF6118" w:rsidP="00BF6118">
      <w:pPr>
        <w:widowControl w:val="0"/>
        <w:autoSpaceDE w:val="0"/>
        <w:autoSpaceDN w:val="0"/>
        <w:ind w:left="116"/>
        <w:rPr>
          <w:rFonts w:ascii="Times New Roman" w:eastAsia="Times New Roman" w:hAnsi="Times New Roman" w:cs="Times New Roman"/>
          <w:kern w:val="0"/>
          <w:sz w:val="24"/>
          <w:lang w:val="bs"/>
          <w14:ligatures w14:val="none"/>
        </w:rPr>
      </w:pP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Podstrana,</w:t>
      </w:r>
      <w:r w:rsidRPr="00BF6118">
        <w:rPr>
          <w:rFonts w:ascii="Times New Roman" w:eastAsia="Times New Roman" w:hAnsi="Times New Roman" w:cs="Times New Roman"/>
          <w:color w:val="1F1F1F"/>
          <w:spacing w:val="17"/>
          <w:w w:val="95"/>
          <w:kern w:val="0"/>
          <w:sz w:val="24"/>
          <w:lang w:val="bs"/>
          <w14:ligatures w14:val="none"/>
        </w:rPr>
        <w:t xml:space="preserve"> 30</w:t>
      </w: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.</w:t>
      </w:r>
      <w:r w:rsidRPr="00BF6118">
        <w:rPr>
          <w:rFonts w:ascii="Times New Roman" w:eastAsia="Times New Roman" w:hAnsi="Times New Roman" w:cs="Times New Roman"/>
          <w:color w:val="1F1F1F"/>
          <w:spacing w:val="2"/>
          <w:w w:val="95"/>
          <w:kern w:val="0"/>
          <w:sz w:val="24"/>
          <w:lang w:val="bs"/>
          <w14:ligatures w14:val="none"/>
        </w:rPr>
        <w:t xml:space="preserve"> </w:t>
      </w: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siječnja</w:t>
      </w:r>
      <w:r w:rsidRPr="00BF6118">
        <w:rPr>
          <w:rFonts w:ascii="Times New Roman" w:eastAsia="Times New Roman" w:hAnsi="Times New Roman" w:cs="Times New Roman"/>
          <w:color w:val="1F1F1F"/>
          <w:spacing w:val="9"/>
          <w:w w:val="95"/>
          <w:kern w:val="0"/>
          <w:sz w:val="24"/>
          <w:lang w:val="bs"/>
          <w14:ligatures w14:val="none"/>
        </w:rPr>
        <w:t xml:space="preserve"> </w:t>
      </w: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202</w:t>
      </w:r>
      <w:r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5</w:t>
      </w: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.</w:t>
      </w:r>
      <w:r w:rsidRPr="00BF6118">
        <w:rPr>
          <w:rFonts w:ascii="Times New Roman" w:eastAsia="Times New Roman" w:hAnsi="Times New Roman" w:cs="Times New Roman"/>
          <w:color w:val="1F1F1F"/>
          <w:spacing w:val="7"/>
          <w:w w:val="95"/>
          <w:kern w:val="0"/>
          <w:sz w:val="24"/>
          <w:lang w:val="bs"/>
          <w14:ligatures w14:val="none"/>
        </w:rPr>
        <w:t xml:space="preserve"> </w:t>
      </w:r>
      <w:r w:rsidRPr="00BF6118">
        <w:rPr>
          <w:rFonts w:ascii="Times New Roman" w:eastAsia="Times New Roman" w:hAnsi="Times New Roman" w:cs="Times New Roman"/>
          <w:color w:val="1F1F1F"/>
          <w:w w:val="95"/>
          <w:kern w:val="0"/>
          <w:sz w:val="24"/>
          <w:lang w:val="bs"/>
          <w14:ligatures w14:val="none"/>
        </w:rPr>
        <w:t>godine</w:t>
      </w:r>
    </w:p>
    <w:p w14:paraId="7EE1B088" w14:textId="77777777" w:rsidR="00BF6118" w:rsidRPr="00BF6118" w:rsidRDefault="00BF6118" w:rsidP="00BF6118">
      <w:pPr>
        <w:widowControl w:val="0"/>
        <w:autoSpaceDE w:val="0"/>
        <w:autoSpaceDN w:val="0"/>
        <w:rPr>
          <w:rFonts w:ascii="Times New Roman" w:eastAsia="Times New Roman" w:hAnsi="Times New Roman" w:cs="Times New Roman"/>
          <w:kern w:val="0"/>
          <w:sz w:val="26"/>
          <w:szCs w:val="25"/>
          <w:lang w:val="bs"/>
          <w14:ligatures w14:val="none"/>
        </w:rPr>
      </w:pPr>
    </w:p>
    <w:p w14:paraId="333E4638" w14:textId="77777777" w:rsidR="00BF6118" w:rsidRPr="00BF6118" w:rsidRDefault="00BF6118" w:rsidP="00BF6118">
      <w:pPr>
        <w:widowControl w:val="0"/>
        <w:autoSpaceDE w:val="0"/>
        <w:autoSpaceDN w:val="0"/>
        <w:spacing w:before="3"/>
        <w:rPr>
          <w:rFonts w:ascii="Times New Roman" w:eastAsia="Times New Roman" w:hAnsi="Times New Roman" w:cs="Times New Roman"/>
          <w:kern w:val="0"/>
          <w:sz w:val="21"/>
          <w:szCs w:val="25"/>
          <w:lang w:val="bs"/>
          <w14:ligatures w14:val="none"/>
        </w:rPr>
      </w:pPr>
    </w:p>
    <w:p w14:paraId="7718B313" w14:textId="77777777" w:rsidR="00BF6118" w:rsidRPr="00BF6118" w:rsidRDefault="00BF6118" w:rsidP="00BF6118">
      <w:pPr>
        <w:widowControl w:val="0"/>
        <w:autoSpaceDE w:val="0"/>
        <w:autoSpaceDN w:val="0"/>
        <w:ind w:firstLine="116"/>
        <w:rPr>
          <w:rFonts w:ascii="Arial" w:eastAsia="Bookman Old Style" w:hAnsi="Arial" w:cs="Arial"/>
          <w:color w:val="1F1F1F"/>
          <w:w w:val="95"/>
          <w:kern w:val="0"/>
          <w:lang w:val="bs"/>
          <w14:ligatures w14:val="none"/>
        </w:rPr>
      </w:pPr>
      <w:r w:rsidRPr="00BF6118">
        <w:rPr>
          <w:rFonts w:ascii="Arial" w:eastAsia="Bookman Old Style" w:hAnsi="Arial" w:cs="Arial"/>
          <w:color w:val="1F1F1F"/>
          <w:w w:val="95"/>
          <w:kern w:val="0"/>
          <w:lang w:val="bs"/>
          <w14:ligatures w14:val="none"/>
        </w:rPr>
        <w:t xml:space="preserve">     </w:t>
      </w:r>
    </w:p>
    <w:p w14:paraId="099ACCDA" w14:textId="35FA1B37" w:rsidR="00BF6118" w:rsidRPr="00BF6118" w:rsidRDefault="00BF6118" w:rsidP="00BF6118">
      <w:pPr>
        <w:widowControl w:val="0"/>
        <w:autoSpaceDE w:val="0"/>
        <w:autoSpaceDN w:val="0"/>
        <w:ind w:firstLine="116"/>
        <w:rPr>
          <w:rFonts w:ascii="Arial" w:eastAsia="Bookman Old Style" w:hAnsi="Arial" w:cs="Arial"/>
          <w:b/>
          <w:bCs/>
          <w:kern w:val="0"/>
          <w:lang w:val="bs"/>
          <w14:ligatures w14:val="none"/>
        </w:rPr>
      </w:pPr>
      <w:r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 xml:space="preserve">    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>BILJEŠKE</w:t>
      </w:r>
      <w:r w:rsidRPr="00BF6118">
        <w:rPr>
          <w:rFonts w:ascii="Arial" w:eastAsia="Bookman Old Style" w:hAnsi="Arial" w:cs="Arial"/>
          <w:b/>
          <w:bCs/>
          <w:color w:val="1F1F1F"/>
          <w:spacing w:val="27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>UZ</w:t>
      </w:r>
      <w:r w:rsidRPr="00BF6118">
        <w:rPr>
          <w:rFonts w:ascii="Arial" w:eastAsia="Bookman Old Style" w:hAnsi="Arial" w:cs="Arial"/>
          <w:b/>
          <w:bCs/>
          <w:color w:val="1F1F1F"/>
          <w:spacing w:val="-10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>FINANCIJSKE</w:t>
      </w:r>
      <w:r w:rsidRPr="00BF6118">
        <w:rPr>
          <w:rFonts w:ascii="Arial" w:eastAsia="Bookman Old Style" w:hAnsi="Arial" w:cs="Arial"/>
          <w:b/>
          <w:bCs/>
          <w:color w:val="1F1F1F"/>
          <w:spacing w:val="32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>IZVJEŠTAJE</w:t>
      </w:r>
      <w:r w:rsidRPr="00BF6118">
        <w:rPr>
          <w:rFonts w:ascii="Arial" w:eastAsia="Bookman Old Style" w:hAnsi="Arial" w:cs="Arial"/>
          <w:b/>
          <w:bCs/>
          <w:color w:val="1F1F1F"/>
          <w:spacing w:val="28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>ZA</w:t>
      </w:r>
      <w:r w:rsidRPr="00BF6118">
        <w:rPr>
          <w:rFonts w:ascii="Arial" w:eastAsia="Bookman Old Style" w:hAnsi="Arial" w:cs="Arial"/>
          <w:b/>
          <w:bCs/>
          <w:color w:val="1F1F1F"/>
          <w:spacing w:val="-19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w w:val="95"/>
          <w:kern w:val="0"/>
          <w:lang w:val="bs"/>
          <w14:ligatures w14:val="none"/>
        </w:rPr>
        <w:t xml:space="preserve">RAZDOBLJE </w:t>
      </w:r>
      <w:r w:rsidRPr="00BF6118"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01.01.202</w:t>
      </w:r>
      <w:r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4</w:t>
      </w:r>
      <w:r w:rsidRPr="00BF6118"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.-31.12.202</w:t>
      </w:r>
      <w:r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4</w:t>
      </w:r>
      <w:r w:rsidRPr="00BF6118"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.</w:t>
      </w:r>
      <w:r w:rsidRPr="00BF6118">
        <w:rPr>
          <w:rFonts w:ascii="Arial" w:eastAsia="Bookman Old Style" w:hAnsi="Arial" w:cs="Arial"/>
          <w:b/>
          <w:bCs/>
          <w:color w:val="1F1F1F"/>
          <w:spacing w:val="10"/>
          <w:kern w:val="0"/>
          <w:lang w:val="bs"/>
          <w14:ligatures w14:val="none"/>
        </w:rPr>
        <w:t xml:space="preserve"> </w:t>
      </w:r>
      <w:r w:rsidRPr="00BF6118">
        <w:rPr>
          <w:rFonts w:ascii="Arial" w:eastAsia="Bookman Old Style" w:hAnsi="Arial" w:cs="Arial"/>
          <w:b/>
          <w:bCs/>
          <w:color w:val="1F1F1F"/>
          <w:kern w:val="0"/>
          <w:lang w:val="bs"/>
          <w14:ligatures w14:val="none"/>
        </w:rPr>
        <w:t>GODINE</w:t>
      </w:r>
    </w:p>
    <w:p w14:paraId="12B17EDF" w14:textId="77777777" w:rsidR="00BF6118" w:rsidRPr="00BF6118" w:rsidRDefault="00BF6118" w:rsidP="00BF6118">
      <w:pPr>
        <w:widowControl w:val="0"/>
        <w:autoSpaceDE w:val="0"/>
        <w:autoSpaceDN w:val="0"/>
        <w:spacing w:before="2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3E5CE2EA" w14:textId="77777777" w:rsidR="00BF6118" w:rsidRPr="00BF6118" w:rsidRDefault="00BF6118" w:rsidP="00BF6118">
      <w:pPr>
        <w:widowControl w:val="0"/>
        <w:autoSpaceDE w:val="0"/>
        <w:autoSpaceDN w:val="0"/>
        <w:spacing w:line="271" w:lineRule="auto"/>
        <w:ind w:left="389" w:right="118" w:hanging="11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Sukladno Pravilniku o financijskom izvještavanju u proračunskom računovodstvu (»Narodne novine«,</w:t>
      </w:r>
      <w:r w:rsidRPr="00BF6118">
        <w:rPr>
          <w:rFonts w:ascii="Arial" w:eastAsia="Times New Roman" w:hAnsi="Arial" w:cs="Arial"/>
          <w:color w:val="1F1F1F"/>
          <w:spacing w:val="1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broj 37/2022)</w:t>
      </w:r>
      <w:r w:rsidRPr="00BF6118">
        <w:rPr>
          <w:rFonts w:ascii="Arial" w:eastAsia="Times New Roman" w:hAnsi="Arial" w:cs="Arial"/>
          <w:color w:val="1F1F1F"/>
          <w:spacing w:val="16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u</w:t>
      </w:r>
      <w:r w:rsidRPr="00BF6118">
        <w:rPr>
          <w:rFonts w:ascii="Arial" w:eastAsia="Times New Roman" w:hAnsi="Arial" w:cs="Arial"/>
          <w:color w:val="1F1F1F"/>
          <w:spacing w:val="9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nastavku</w:t>
      </w:r>
      <w:r w:rsidRPr="00BF6118">
        <w:rPr>
          <w:rFonts w:ascii="Arial" w:eastAsia="Times New Roman" w:hAnsi="Arial" w:cs="Arial"/>
          <w:color w:val="1F1F1F"/>
          <w:spacing w:val="9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se</w:t>
      </w:r>
      <w:r w:rsidRPr="00BF6118">
        <w:rPr>
          <w:rFonts w:ascii="Arial" w:eastAsia="Times New Roman" w:hAnsi="Arial" w:cs="Arial"/>
          <w:color w:val="1F1F1F"/>
          <w:spacing w:val="-6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daju</w:t>
      </w:r>
      <w:r w:rsidRPr="00BF6118">
        <w:rPr>
          <w:rFonts w:ascii="Arial" w:eastAsia="Times New Roman" w:hAnsi="Arial" w:cs="Arial"/>
          <w:color w:val="1F1F1F"/>
          <w:spacing w:val="14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bilješke</w:t>
      </w:r>
      <w:r w:rsidRPr="00BF6118">
        <w:rPr>
          <w:rFonts w:ascii="Arial" w:eastAsia="Times New Roman" w:hAnsi="Arial" w:cs="Arial"/>
          <w:color w:val="1F1F1F"/>
          <w:spacing w:val="2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uz</w:t>
      </w:r>
      <w:r w:rsidRPr="00BF6118">
        <w:rPr>
          <w:rFonts w:ascii="Arial" w:eastAsia="Times New Roman" w:hAnsi="Arial" w:cs="Arial"/>
          <w:color w:val="1F1F1F"/>
          <w:spacing w:val="8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pojedine</w:t>
      </w:r>
      <w:r w:rsidRPr="00BF6118">
        <w:rPr>
          <w:rFonts w:ascii="Arial" w:eastAsia="Times New Roman" w:hAnsi="Arial" w:cs="Arial"/>
          <w:color w:val="1F1F1F"/>
          <w:spacing w:val="23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pozicije</w:t>
      </w:r>
      <w:r w:rsidRPr="00BF6118">
        <w:rPr>
          <w:rFonts w:ascii="Arial" w:eastAsia="Times New Roman" w:hAnsi="Arial" w:cs="Arial"/>
          <w:color w:val="1F1F1F"/>
          <w:spacing w:val="52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kako</w:t>
      </w:r>
      <w:r w:rsidRPr="00BF6118">
        <w:rPr>
          <w:rFonts w:ascii="Arial" w:eastAsia="Times New Roman" w:hAnsi="Arial" w:cs="Arial"/>
          <w:color w:val="1F1F1F"/>
          <w:spacing w:val="1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slijedi:</w:t>
      </w:r>
    </w:p>
    <w:p w14:paraId="0C7A03CD" w14:textId="77777777" w:rsidR="00BF6118" w:rsidRPr="00BF6118" w:rsidRDefault="00BF6118" w:rsidP="00BF6118">
      <w:pPr>
        <w:widowControl w:val="0"/>
        <w:autoSpaceDE w:val="0"/>
        <w:autoSpaceDN w:val="0"/>
        <w:spacing w:before="2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3FF08C51" w14:textId="77777777" w:rsidR="00BF6118" w:rsidRPr="00BF6118" w:rsidRDefault="00BF6118" w:rsidP="00A6035D">
      <w:pPr>
        <w:widowControl w:val="0"/>
        <w:numPr>
          <w:ilvl w:val="0"/>
          <w:numId w:val="1"/>
        </w:numPr>
        <w:tabs>
          <w:tab w:val="left" w:pos="797"/>
        </w:tabs>
        <w:autoSpaceDE w:val="0"/>
        <w:autoSpaceDN w:val="0"/>
        <w:jc w:val="left"/>
        <w:rPr>
          <w:rFonts w:ascii="Arial" w:eastAsia="Times New Roman" w:hAnsi="Arial" w:cs="Arial"/>
          <w:b/>
          <w:bCs/>
          <w:color w:val="1F1F1F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b/>
          <w:bCs/>
          <w:color w:val="1F1F1F"/>
          <w:w w:val="105"/>
          <w:kern w:val="0"/>
          <w:lang w:val="bs"/>
          <w14:ligatures w14:val="none"/>
        </w:rPr>
        <w:t>Bilješke</w:t>
      </w:r>
      <w:r w:rsidRPr="00BF6118">
        <w:rPr>
          <w:rFonts w:ascii="Arial" w:eastAsia="Times New Roman" w:hAnsi="Arial" w:cs="Arial"/>
          <w:b/>
          <w:bCs/>
          <w:color w:val="1F1F1F"/>
          <w:spacing w:val="18"/>
          <w:w w:val="10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bCs/>
          <w:color w:val="1F1F1F"/>
          <w:w w:val="105"/>
          <w:kern w:val="0"/>
          <w:lang w:val="bs"/>
          <w14:ligatures w14:val="none"/>
        </w:rPr>
        <w:t>uz</w:t>
      </w:r>
      <w:r w:rsidRPr="00BF6118">
        <w:rPr>
          <w:rFonts w:ascii="Arial" w:eastAsia="Times New Roman" w:hAnsi="Arial" w:cs="Arial"/>
          <w:b/>
          <w:bCs/>
          <w:color w:val="1F1F1F"/>
          <w:spacing w:val="-2"/>
          <w:w w:val="10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bCs/>
          <w:color w:val="1F1F1F"/>
          <w:w w:val="105"/>
          <w:kern w:val="0"/>
          <w:lang w:val="bs"/>
          <w14:ligatures w14:val="none"/>
        </w:rPr>
        <w:t>obrazac</w:t>
      </w:r>
      <w:r w:rsidRPr="00BF6118">
        <w:rPr>
          <w:rFonts w:ascii="Arial" w:eastAsia="Times New Roman" w:hAnsi="Arial" w:cs="Arial"/>
          <w:b/>
          <w:bCs/>
          <w:color w:val="1F1F1F"/>
          <w:spacing w:val="65"/>
          <w:w w:val="10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bCs/>
          <w:color w:val="1F1F1F"/>
          <w:w w:val="105"/>
          <w:kern w:val="0"/>
          <w:lang w:val="bs"/>
          <w14:ligatures w14:val="none"/>
        </w:rPr>
        <w:t>PR-RAS</w:t>
      </w:r>
    </w:p>
    <w:p w14:paraId="0A43C5C9" w14:textId="77777777" w:rsidR="00BF6118" w:rsidRPr="00BF6118" w:rsidRDefault="00BF6118" w:rsidP="00BF6118">
      <w:pPr>
        <w:widowControl w:val="0"/>
        <w:autoSpaceDE w:val="0"/>
        <w:autoSpaceDN w:val="0"/>
        <w:spacing w:before="9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650778FF" w14:textId="69BA813A" w:rsidR="00BF6118" w:rsidRPr="00BF6118" w:rsidRDefault="00BF6118" w:rsidP="00BF6118">
      <w:pPr>
        <w:widowControl w:val="0"/>
        <w:autoSpaceDE w:val="0"/>
        <w:autoSpaceDN w:val="0"/>
        <w:spacing w:line="333" w:lineRule="auto"/>
        <w:ind w:left="438" w:right="112" w:firstLine="2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Javna vatrogasna postrojba usvojila je financijski plan u prosincu 202</w:t>
      </w:r>
      <w:r w:rsidR="00A6035D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3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. godine. Sukladno odobrenim</w:t>
      </w:r>
      <w:r w:rsidRPr="00BF6118">
        <w:rPr>
          <w:rFonts w:ascii="Arial" w:eastAsia="Times New Roman" w:hAnsi="Arial" w:cs="Arial"/>
          <w:color w:val="1F1F1F"/>
          <w:spacing w:val="1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spacing w:val="-1"/>
          <w:w w:val="95"/>
          <w:kern w:val="0"/>
          <w:lang w:val="bs"/>
          <w14:ligatures w14:val="none"/>
        </w:rPr>
        <w:t xml:space="preserve">sredstvima osnivača, ukupni rashodi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za zaposlene, materijalne troškove i ostale rashode planirani su</w:t>
      </w:r>
      <w:r w:rsidRPr="00BF6118">
        <w:rPr>
          <w:rFonts w:ascii="Arial" w:eastAsia="Times New Roman" w:hAnsi="Arial" w:cs="Arial"/>
          <w:color w:val="1F1F1F"/>
          <w:spacing w:val="1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na</w:t>
      </w:r>
      <w:r w:rsidRPr="00BF6118">
        <w:rPr>
          <w:rFonts w:ascii="Arial" w:eastAsia="Times New Roman" w:hAnsi="Arial" w:cs="Arial"/>
          <w:color w:val="1F1F1F"/>
          <w:spacing w:val="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razini</w:t>
      </w:r>
      <w:r w:rsidRPr="00BF6118">
        <w:rPr>
          <w:rFonts w:ascii="Arial" w:eastAsia="Times New Roman" w:hAnsi="Arial" w:cs="Arial"/>
          <w:color w:val="1F1F1F"/>
          <w:spacing w:val="13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prethodne</w:t>
      </w:r>
      <w:r w:rsidRPr="00BF6118">
        <w:rPr>
          <w:rFonts w:ascii="Arial" w:eastAsia="Times New Roman" w:hAnsi="Arial" w:cs="Arial"/>
          <w:color w:val="1F1F1F"/>
          <w:spacing w:val="14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godine.</w:t>
      </w:r>
    </w:p>
    <w:p w14:paraId="6AB9CBB1" w14:textId="77777777" w:rsidR="00BF6118" w:rsidRPr="00BF6118" w:rsidRDefault="00BF6118" w:rsidP="00BF6118">
      <w:pPr>
        <w:widowControl w:val="0"/>
        <w:autoSpaceDE w:val="0"/>
        <w:autoSpaceDN w:val="0"/>
        <w:spacing w:before="206"/>
        <w:ind w:left="435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PRIHODI:</w:t>
      </w:r>
    </w:p>
    <w:p w14:paraId="3D484F46" w14:textId="7DC952D3" w:rsidR="00BF6118" w:rsidRPr="00BF6118" w:rsidRDefault="00BF6118" w:rsidP="00BF6118">
      <w:pPr>
        <w:widowControl w:val="0"/>
        <w:autoSpaceDE w:val="0"/>
        <w:autoSpaceDN w:val="0"/>
        <w:spacing w:before="213" w:line="348" w:lineRule="auto"/>
        <w:ind w:left="424" w:right="118" w:firstLine="1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ŠIFRA 66- </w:t>
      </w:r>
      <w:r w:rsidR="00A6035D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povećani</w:t>
      </w:r>
      <w:r w:rsidR="002C3899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 ukupni</w:t>
      </w:r>
      <w:r w:rsidR="00A6035D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prihodi</w:t>
      </w:r>
      <w:r w:rsidR="002C3899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 na skupini 66 zbog refundacije odštete za vozilo u vlasništvu DVD Podstrana a koji temeljem ugovora koristi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 </w:t>
      </w:r>
      <w:r w:rsidR="002C3899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JVP Podstrana, prihodi od pruženih usluga nisu se povećavali.</w:t>
      </w:r>
    </w:p>
    <w:p w14:paraId="1A16155C" w14:textId="2ADFFD6A" w:rsidR="00BF6118" w:rsidRPr="00BF6118" w:rsidRDefault="00BF6118" w:rsidP="00BF6118">
      <w:pPr>
        <w:widowControl w:val="0"/>
        <w:autoSpaceDE w:val="0"/>
        <w:autoSpaceDN w:val="0"/>
        <w:spacing w:before="211" w:line="343" w:lineRule="auto"/>
        <w:ind w:left="428" w:right="117" w:hanging="7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ŠIFRA 67- doznačena sredstva iz nadležnog proračuna koja su za 202</w:t>
      </w:r>
      <w:r w:rsidR="002C3899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4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.godinu znatno povećana u odnosu na</w:t>
      </w:r>
      <w:r w:rsidRPr="00BF6118">
        <w:rPr>
          <w:rFonts w:ascii="Arial" w:eastAsia="Times New Roman" w:hAnsi="Arial" w:cs="Arial"/>
          <w:color w:val="1F1F1F"/>
          <w:spacing w:val="1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prethodnu</w:t>
      </w:r>
      <w:r w:rsidRPr="00BF6118">
        <w:rPr>
          <w:rFonts w:ascii="Arial" w:eastAsia="Times New Roman" w:hAnsi="Arial" w:cs="Arial"/>
          <w:color w:val="1F1F1F"/>
          <w:spacing w:val="24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godinu zbog promjena u kolektivnim ugovoru te zbog odluke osnivača.</w:t>
      </w:r>
    </w:p>
    <w:p w14:paraId="5C3E3799" w14:textId="77777777" w:rsidR="00BF6118" w:rsidRPr="00BF6118" w:rsidRDefault="00BF6118" w:rsidP="00BF6118">
      <w:pPr>
        <w:widowControl w:val="0"/>
        <w:autoSpaceDE w:val="0"/>
        <w:autoSpaceDN w:val="0"/>
        <w:spacing w:before="209"/>
        <w:ind w:left="418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RASHODI:</w:t>
      </w:r>
    </w:p>
    <w:p w14:paraId="59E7C5DE" w14:textId="266E0DAB" w:rsidR="00BF6118" w:rsidRDefault="00BF6118" w:rsidP="00B85AC7">
      <w:pPr>
        <w:widowControl w:val="0"/>
        <w:autoSpaceDE w:val="0"/>
        <w:autoSpaceDN w:val="0"/>
        <w:spacing w:before="137" w:after="240" w:line="348" w:lineRule="auto"/>
        <w:ind w:left="407" w:right="135" w:firstLine="5"/>
        <w:jc w:val="both"/>
        <w:rPr>
          <w:rFonts w:ascii="Arial" w:eastAsia="Times New Roman" w:hAnsi="Arial" w:cs="Arial"/>
          <w:color w:val="1F1F1F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ŠIFRA 31 Plaće za zaposlene -rashodi su povećani iz razloga što je povećana osnovica plaće za javne službe, što je rezultiralo većim troškovima u izvještajnom razdoblju.</w:t>
      </w:r>
      <w:r w:rsidR="00B85AC7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 xml:space="preserve"> </w:t>
      </w:r>
    </w:p>
    <w:p w14:paraId="0290F6A5" w14:textId="49A051C7" w:rsidR="00BF6118" w:rsidRPr="00BF6118" w:rsidRDefault="00B85AC7" w:rsidP="00BF6118">
      <w:pPr>
        <w:widowControl w:val="0"/>
        <w:autoSpaceDE w:val="0"/>
        <w:autoSpaceDN w:val="0"/>
        <w:spacing w:before="9" w:line="350" w:lineRule="auto"/>
        <w:ind w:left="410" w:right="145" w:hanging="3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ŠIFRA 34 Financijski rashodi – povećanje je zbog povećanja cijena bankarskih usluga i usluga platnog prometa.</w:t>
      </w:r>
    </w:p>
    <w:p w14:paraId="0E52D10A" w14:textId="77777777" w:rsidR="00BF6118" w:rsidRPr="00BF6118" w:rsidRDefault="00BF6118" w:rsidP="00BF6118">
      <w:pPr>
        <w:widowControl w:val="0"/>
        <w:autoSpaceDE w:val="0"/>
        <w:autoSpaceDN w:val="0"/>
        <w:spacing w:line="350" w:lineRule="auto"/>
        <w:jc w:val="both"/>
        <w:rPr>
          <w:rFonts w:ascii="Arial" w:eastAsia="Times New Roman" w:hAnsi="Arial" w:cs="Arial"/>
          <w:kern w:val="0"/>
          <w:lang w:val="bs"/>
          <w14:ligatures w14:val="none"/>
        </w:rPr>
        <w:sectPr w:rsidR="00BF6118" w:rsidRPr="00BF6118" w:rsidSect="00BF6118">
          <w:pgSz w:w="11910" w:h="16830"/>
          <w:pgMar w:top="1600" w:right="960" w:bottom="280" w:left="840" w:header="720" w:footer="720" w:gutter="0"/>
          <w:cols w:space="720"/>
        </w:sectPr>
      </w:pPr>
    </w:p>
    <w:p w14:paraId="723FBC21" w14:textId="60239041" w:rsidR="00C2462E" w:rsidRDefault="00C2462E" w:rsidP="00BF6118">
      <w:pPr>
        <w:widowControl w:val="0"/>
        <w:autoSpaceDE w:val="0"/>
        <w:autoSpaceDN w:val="0"/>
        <w:spacing w:before="199" w:line="333" w:lineRule="auto"/>
        <w:ind w:left="468" w:hanging="4"/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lastRenderedPageBreak/>
        <w:t>ŠIFRA 3221 Uredski materijal i ostali materijalni rashodi su povećani zbog utjecaja inflacije na cijene proizvoda.</w:t>
      </w:r>
    </w:p>
    <w:p w14:paraId="7E48ED26" w14:textId="107D6CC8" w:rsidR="00C2462E" w:rsidRDefault="00C2462E" w:rsidP="00BF6118">
      <w:pPr>
        <w:widowControl w:val="0"/>
        <w:autoSpaceDE w:val="0"/>
        <w:autoSpaceDN w:val="0"/>
        <w:spacing w:before="199" w:line="333" w:lineRule="auto"/>
        <w:ind w:left="468" w:hanging="4"/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ŠIFRA 3222 Materijal i sirovine – indeks povećanja je 954,2 % iako je financijski povećanje neznatno (manje od 200,00 eura).</w:t>
      </w:r>
    </w:p>
    <w:p w14:paraId="1A2A2FD9" w14:textId="1359AC9D" w:rsidR="00BF6118" w:rsidRDefault="00BF6118" w:rsidP="00BF6118">
      <w:pPr>
        <w:widowControl w:val="0"/>
        <w:autoSpaceDE w:val="0"/>
        <w:autoSpaceDN w:val="0"/>
        <w:spacing w:before="199" w:line="333" w:lineRule="auto"/>
        <w:ind w:left="468" w:hanging="4"/>
        <w:rPr>
          <w:rFonts w:ascii="Arial" w:eastAsia="Times New Roman" w:hAnsi="Arial" w:cs="Arial"/>
          <w:color w:val="1F1F1F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ŠIFRA</w:t>
      </w:r>
      <w:r w:rsidRPr="00BF6118">
        <w:rPr>
          <w:rFonts w:ascii="Arial" w:eastAsia="Times New Roman" w:hAnsi="Arial" w:cs="Arial"/>
          <w:color w:val="1F1F1F"/>
          <w:spacing w:val="8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3223</w:t>
      </w:r>
      <w:r w:rsidRPr="00BF6118">
        <w:rPr>
          <w:rFonts w:ascii="Arial" w:eastAsia="Times New Roman" w:hAnsi="Arial" w:cs="Arial"/>
          <w:color w:val="1F1F1F"/>
          <w:spacing w:val="4"/>
          <w:w w:val="95"/>
          <w:kern w:val="0"/>
          <w:lang w:val="bs"/>
          <w14:ligatures w14:val="none"/>
        </w:rPr>
        <w:t xml:space="preserve"> </w:t>
      </w:r>
      <w:r w:rsidR="00B85AC7">
        <w:rPr>
          <w:rFonts w:ascii="Arial" w:eastAsia="Times New Roman" w:hAnsi="Arial" w:cs="Arial"/>
          <w:color w:val="1F1F1F"/>
          <w:kern w:val="0"/>
          <w:lang w:val="bs"/>
          <w14:ligatures w14:val="none"/>
        </w:rPr>
        <w:t>Rashodi za materijal i energiju su povećani zbog inflacije i poskupljenja energenata.</w:t>
      </w:r>
    </w:p>
    <w:p w14:paraId="5F7A5FB0" w14:textId="3D53C0F2" w:rsidR="00BF6118" w:rsidRPr="00BF6118" w:rsidRDefault="00C2462E" w:rsidP="00FC2C73">
      <w:pPr>
        <w:widowControl w:val="0"/>
        <w:autoSpaceDE w:val="0"/>
        <w:autoSpaceDN w:val="0"/>
        <w:spacing w:before="199" w:line="333" w:lineRule="auto"/>
        <w:ind w:left="468" w:hanging="4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ŠIFRA 3225 Sitni inventar i auto gume – povećanje je zbog potrebe obnove sredstava potrebnih za funkcioniranje javne vatrogasne postrojbe, ukupno povećanje odnosi se na sitni inventar.</w:t>
      </w:r>
    </w:p>
    <w:p w14:paraId="74B5C431" w14:textId="77777777" w:rsidR="00BF6118" w:rsidRPr="00BF6118" w:rsidRDefault="00BF6118" w:rsidP="00BF6118">
      <w:pPr>
        <w:widowControl w:val="0"/>
        <w:autoSpaceDE w:val="0"/>
        <w:autoSpaceDN w:val="0"/>
        <w:spacing w:before="2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7C348329" w14:textId="00C6B596" w:rsidR="00BF6118" w:rsidRPr="00BF6118" w:rsidRDefault="00BF6118" w:rsidP="00BF6118">
      <w:pPr>
        <w:widowControl w:val="0"/>
        <w:autoSpaceDE w:val="0"/>
        <w:autoSpaceDN w:val="0"/>
        <w:spacing w:line="336" w:lineRule="auto"/>
        <w:ind w:left="463" w:hanging="4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spacing w:val="-1"/>
          <w:w w:val="95"/>
          <w:kern w:val="0"/>
          <w:lang w:val="bs"/>
          <w14:ligatures w14:val="none"/>
        </w:rPr>
        <w:t>ŠIFRA</w:t>
      </w:r>
      <w:r w:rsidRPr="00BF6118">
        <w:rPr>
          <w:rFonts w:ascii="Arial" w:eastAsia="Times New Roman" w:hAnsi="Arial" w:cs="Arial"/>
          <w:color w:val="1F1F1F"/>
          <w:spacing w:val="-3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spacing w:val="-1"/>
          <w:w w:val="95"/>
          <w:kern w:val="0"/>
          <w:lang w:val="bs"/>
          <w14:ligatures w14:val="none"/>
        </w:rPr>
        <w:t>323</w:t>
      </w:r>
      <w:r w:rsidR="00FC2C73">
        <w:rPr>
          <w:rFonts w:ascii="Arial" w:eastAsia="Times New Roman" w:hAnsi="Arial" w:cs="Arial"/>
          <w:color w:val="1F1F1F"/>
          <w:spacing w:val="-1"/>
          <w:w w:val="95"/>
          <w:kern w:val="0"/>
          <w:lang w:val="bs"/>
          <w14:ligatures w14:val="none"/>
        </w:rPr>
        <w:t>2</w:t>
      </w:r>
      <w:r w:rsidRPr="00BF6118">
        <w:rPr>
          <w:rFonts w:ascii="Arial" w:eastAsia="Times New Roman" w:hAnsi="Arial" w:cs="Arial"/>
          <w:color w:val="1F1F1F"/>
          <w:spacing w:val="-8"/>
          <w:w w:val="95"/>
          <w:kern w:val="0"/>
          <w:lang w:val="bs"/>
          <w14:ligatures w14:val="none"/>
        </w:rPr>
        <w:t xml:space="preserve"> </w:t>
      </w:r>
      <w:r w:rsidR="00FC2C73">
        <w:rPr>
          <w:rFonts w:ascii="Arial" w:eastAsia="Times New Roman" w:hAnsi="Arial" w:cs="Arial"/>
          <w:color w:val="1F1F1F"/>
          <w:spacing w:val="-1"/>
          <w:w w:val="95"/>
          <w:kern w:val="0"/>
          <w:lang w:val="bs"/>
          <w14:ligatures w14:val="none"/>
        </w:rPr>
        <w:t>Usluge tekućeg i investicijskog održavanja – povećano radi starosti i dotrajalosti opreme i vozila i učestalije potrebe za servisiranjem i popravcima.</w:t>
      </w:r>
    </w:p>
    <w:p w14:paraId="0598A360" w14:textId="684E610D" w:rsidR="00BF6118" w:rsidRDefault="00BF6118" w:rsidP="00BF6118">
      <w:pPr>
        <w:widowControl w:val="0"/>
        <w:autoSpaceDE w:val="0"/>
        <w:autoSpaceDN w:val="0"/>
        <w:spacing w:before="199"/>
        <w:ind w:left="454"/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ŠIFRA</w:t>
      </w:r>
      <w:r w:rsidRPr="00BF6118">
        <w:rPr>
          <w:rFonts w:ascii="Arial" w:eastAsia="Times New Roman" w:hAnsi="Arial" w:cs="Arial"/>
          <w:color w:val="1F1F1F"/>
          <w:spacing w:val="23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3</w:t>
      </w:r>
      <w:r w:rsidR="00FC2C73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233 Usluge promidžbe i informiranja – povećano radi objave oglasa za zapošljavanje 2 vatrogasca u 2024. godini.</w:t>
      </w:r>
    </w:p>
    <w:p w14:paraId="44A9A2B5" w14:textId="06CF966B" w:rsidR="00FC2C73" w:rsidRPr="00BF6118" w:rsidRDefault="00FC2C73" w:rsidP="00BF6118">
      <w:pPr>
        <w:widowControl w:val="0"/>
        <w:autoSpaceDE w:val="0"/>
        <w:autoSpaceDN w:val="0"/>
        <w:spacing w:before="199"/>
        <w:ind w:left="454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ŠIFRA 3234 Komunalne usluge – povećano radi inflacije i poskupljenja cijene usluge.</w:t>
      </w:r>
    </w:p>
    <w:p w14:paraId="4BC04782" w14:textId="77777777" w:rsidR="00BF6118" w:rsidRPr="00BF6118" w:rsidRDefault="00BF6118" w:rsidP="00BF6118">
      <w:pPr>
        <w:widowControl w:val="0"/>
        <w:autoSpaceDE w:val="0"/>
        <w:autoSpaceDN w:val="0"/>
        <w:spacing w:before="2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054A9E8C" w14:textId="0FE8073C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       Višak prihoda i primitaka raspoloživ u sljedećem razdoblju iznosi </w:t>
      </w:r>
      <w:r w:rsidR="00FC2C73">
        <w:rPr>
          <w:rFonts w:ascii="Arial" w:eastAsia="Times New Roman" w:hAnsi="Arial" w:cs="Arial"/>
          <w:kern w:val="0"/>
          <w:lang w:val="bs"/>
          <w14:ligatures w14:val="none"/>
        </w:rPr>
        <w:t>7.758,44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 eura. </w:t>
      </w:r>
    </w:p>
    <w:p w14:paraId="1AB10C65" w14:textId="77777777" w:rsidR="00BF6118" w:rsidRPr="00BF6118" w:rsidRDefault="00BF6118" w:rsidP="00BF6118">
      <w:pPr>
        <w:widowControl w:val="0"/>
        <w:autoSpaceDE w:val="0"/>
        <w:autoSpaceDN w:val="0"/>
        <w:spacing w:before="8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153546A0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37E329FD" w14:textId="77777777" w:rsidR="00BF6118" w:rsidRPr="00BF6118" w:rsidRDefault="00BF6118" w:rsidP="00FC2C73">
      <w:pPr>
        <w:widowControl w:val="0"/>
        <w:numPr>
          <w:ilvl w:val="0"/>
          <w:numId w:val="1"/>
        </w:numPr>
        <w:tabs>
          <w:tab w:val="left" w:pos="777"/>
        </w:tabs>
        <w:autoSpaceDE w:val="0"/>
        <w:autoSpaceDN w:val="0"/>
        <w:spacing w:before="213"/>
        <w:ind w:left="776" w:hanging="345"/>
        <w:jc w:val="left"/>
        <w:rPr>
          <w:rFonts w:ascii="Arial" w:eastAsia="Times New Roman" w:hAnsi="Arial" w:cs="Arial"/>
          <w:b/>
          <w:color w:val="1F1F1F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b/>
          <w:color w:val="1F1F1F"/>
          <w:kern w:val="0"/>
          <w:lang w:val="bs"/>
          <w14:ligatures w14:val="none"/>
        </w:rPr>
        <w:t>Bilješke</w:t>
      </w:r>
      <w:r w:rsidRPr="00BF6118">
        <w:rPr>
          <w:rFonts w:ascii="Arial" w:eastAsia="Times New Roman" w:hAnsi="Arial" w:cs="Arial"/>
          <w:b/>
          <w:color w:val="1F1F1F"/>
          <w:spacing w:val="7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color w:val="1F1F1F"/>
          <w:kern w:val="0"/>
          <w:lang w:val="bs"/>
          <w14:ligatures w14:val="none"/>
        </w:rPr>
        <w:t>uz</w:t>
      </w:r>
      <w:r w:rsidRPr="00BF6118">
        <w:rPr>
          <w:rFonts w:ascii="Arial" w:eastAsia="Times New Roman" w:hAnsi="Arial" w:cs="Arial"/>
          <w:b/>
          <w:color w:val="1F1F1F"/>
          <w:spacing w:val="2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color w:val="1F1F1F"/>
          <w:kern w:val="0"/>
          <w:lang w:val="bs"/>
          <w14:ligatures w14:val="none"/>
        </w:rPr>
        <w:t>obrazac</w:t>
      </w:r>
      <w:r w:rsidRPr="00BF6118">
        <w:rPr>
          <w:rFonts w:ascii="Arial" w:eastAsia="Times New Roman" w:hAnsi="Arial" w:cs="Arial"/>
          <w:b/>
          <w:color w:val="1F1F1F"/>
          <w:spacing w:val="3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b/>
          <w:color w:val="1F1F1F"/>
          <w:kern w:val="0"/>
          <w:lang w:val="bs"/>
          <w14:ligatures w14:val="none"/>
        </w:rPr>
        <w:t>BILANCA</w:t>
      </w:r>
    </w:p>
    <w:p w14:paraId="20CE9BCA" w14:textId="3EF4E872" w:rsidR="00BF6118" w:rsidRDefault="00BF6118" w:rsidP="00BF6118">
      <w:pPr>
        <w:widowControl w:val="0"/>
        <w:autoSpaceDE w:val="0"/>
        <w:autoSpaceDN w:val="0"/>
        <w:spacing w:before="241" w:line="225" w:lineRule="auto"/>
        <w:ind w:left="428" w:firstLine="3"/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JVP</w:t>
      </w:r>
      <w:r w:rsidRPr="00BF6118">
        <w:rPr>
          <w:rFonts w:ascii="Arial" w:eastAsia="Times New Roman" w:hAnsi="Arial" w:cs="Arial"/>
          <w:color w:val="1F1F1F"/>
          <w:spacing w:val="16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Podstrana</w:t>
      </w:r>
      <w:r w:rsidRPr="00BF6118">
        <w:rPr>
          <w:rFonts w:ascii="Arial" w:eastAsia="Times New Roman" w:hAnsi="Arial" w:cs="Arial"/>
          <w:color w:val="1F1F1F"/>
          <w:spacing w:val="28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nema</w:t>
      </w:r>
      <w:r w:rsidRPr="00BF6118">
        <w:rPr>
          <w:rFonts w:ascii="Arial" w:eastAsia="Times New Roman" w:hAnsi="Arial" w:cs="Arial"/>
          <w:color w:val="1F1F1F"/>
          <w:spacing w:val="20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ugovornih</w:t>
      </w:r>
      <w:r w:rsidRPr="00BF6118">
        <w:rPr>
          <w:rFonts w:ascii="Arial" w:eastAsia="Times New Roman" w:hAnsi="Arial" w:cs="Arial"/>
          <w:color w:val="1F1F1F"/>
          <w:spacing w:val="35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odnosa</w:t>
      </w:r>
      <w:r w:rsidRPr="00BF6118">
        <w:rPr>
          <w:rFonts w:ascii="Arial" w:eastAsia="Times New Roman" w:hAnsi="Arial" w:cs="Arial"/>
          <w:color w:val="1F1F1F"/>
          <w:spacing w:val="22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i</w:t>
      </w:r>
      <w:r w:rsidRPr="00BF6118">
        <w:rPr>
          <w:rFonts w:ascii="Arial" w:eastAsia="Times New Roman" w:hAnsi="Arial" w:cs="Arial"/>
          <w:color w:val="1F1F1F"/>
          <w:spacing w:val="14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slično</w:t>
      </w:r>
      <w:r w:rsidRPr="00BF6118">
        <w:rPr>
          <w:rFonts w:ascii="Arial" w:eastAsia="Times New Roman" w:hAnsi="Arial" w:cs="Arial"/>
          <w:color w:val="1F1F1F"/>
          <w:spacing w:val="21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koji</w:t>
      </w:r>
      <w:r w:rsidRPr="00BF6118">
        <w:rPr>
          <w:rFonts w:ascii="Arial" w:eastAsia="Times New Roman" w:hAnsi="Arial" w:cs="Arial"/>
          <w:color w:val="1F1F1F"/>
          <w:spacing w:val="19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uz</w:t>
      </w:r>
      <w:r w:rsidRPr="00BF6118">
        <w:rPr>
          <w:rFonts w:ascii="Arial" w:eastAsia="Times New Roman" w:hAnsi="Arial" w:cs="Arial"/>
          <w:color w:val="1F1F1F"/>
          <w:spacing w:val="19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ispunjenje</w:t>
      </w:r>
      <w:r w:rsidRPr="00BF6118">
        <w:rPr>
          <w:rFonts w:ascii="Arial" w:eastAsia="Times New Roman" w:hAnsi="Arial" w:cs="Arial"/>
          <w:color w:val="1F1F1F"/>
          <w:spacing w:val="20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odre</w:t>
      </w:r>
      <w:r w:rsidR="00FC2C73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đ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enih</w:t>
      </w:r>
      <w:r w:rsidRPr="00BF6118">
        <w:rPr>
          <w:rFonts w:ascii="Arial" w:eastAsia="Times New Roman" w:hAnsi="Arial" w:cs="Arial"/>
          <w:color w:val="1F1F1F"/>
          <w:spacing w:val="33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uvjeta,</w:t>
      </w:r>
      <w:r w:rsidRPr="00BF6118">
        <w:rPr>
          <w:rFonts w:ascii="Arial" w:eastAsia="Times New Roman" w:hAnsi="Arial" w:cs="Arial"/>
          <w:color w:val="1F1F1F"/>
          <w:spacing w:val="22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mogu</w:t>
      </w:r>
      <w:r w:rsidRPr="00BF6118">
        <w:rPr>
          <w:rFonts w:ascii="Arial" w:eastAsia="Times New Roman" w:hAnsi="Arial" w:cs="Arial"/>
          <w:color w:val="1F1F1F"/>
          <w:spacing w:val="20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postati</w:t>
      </w:r>
      <w:r w:rsidRPr="00BF6118">
        <w:rPr>
          <w:rFonts w:ascii="Arial" w:eastAsia="Times New Roman" w:hAnsi="Arial" w:cs="Arial"/>
          <w:color w:val="1F1F1F"/>
          <w:spacing w:val="-57"/>
          <w:w w:val="95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obveza</w:t>
      </w:r>
      <w:r w:rsidRPr="00BF6118">
        <w:rPr>
          <w:rFonts w:ascii="Arial" w:eastAsia="Times New Roman" w:hAnsi="Arial" w:cs="Arial"/>
          <w:color w:val="1F1F1F"/>
          <w:spacing w:val="33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ili</w:t>
      </w:r>
      <w:r w:rsidRPr="00BF6118">
        <w:rPr>
          <w:rFonts w:ascii="Arial" w:eastAsia="Times New Roman" w:hAnsi="Arial" w:cs="Arial"/>
          <w:color w:val="1F1F1F"/>
          <w:spacing w:val="19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imovina</w:t>
      </w:r>
      <w:r w:rsidRPr="00BF6118">
        <w:rPr>
          <w:rFonts w:ascii="Arial" w:eastAsia="Times New Roman" w:hAnsi="Arial" w:cs="Arial"/>
          <w:color w:val="1F1F1F"/>
          <w:spacing w:val="10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(dana</w:t>
      </w:r>
      <w:r w:rsidRPr="00BF6118">
        <w:rPr>
          <w:rFonts w:ascii="Arial" w:eastAsia="Times New Roman" w:hAnsi="Arial" w:cs="Arial"/>
          <w:color w:val="1F1F1F"/>
          <w:spacing w:val="16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kreditna</w:t>
      </w:r>
      <w:r w:rsidRPr="00BF6118">
        <w:rPr>
          <w:rFonts w:ascii="Arial" w:eastAsia="Times New Roman" w:hAnsi="Arial" w:cs="Arial"/>
          <w:color w:val="1F1F1F"/>
          <w:spacing w:val="14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pisma,</w:t>
      </w:r>
      <w:r w:rsidRPr="00BF6118">
        <w:rPr>
          <w:rFonts w:ascii="Arial" w:eastAsia="Times New Roman" w:hAnsi="Arial" w:cs="Arial"/>
          <w:color w:val="1F1F1F"/>
          <w:spacing w:val="18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hipoteke</w:t>
      </w:r>
      <w:r w:rsidRPr="00BF6118">
        <w:rPr>
          <w:rFonts w:ascii="Arial" w:eastAsia="Times New Roman" w:hAnsi="Arial" w:cs="Arial"/>
          <w:color w:val="1F1F1F"/>
          <w:spacing w:val="29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i</w:t>
      </w:r>
      <w:r w:rsidRPr="00BF6118">
        <w:rPr>
          <w:rFonts w:ascii="Arial" w:eastAsia="Times New Roman" w:hAnsi="Arial" w:cs="Arial"/>
          <w:color w:val="1F1F1F"/>
          <w:spacing w:val="12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slično)</w:t>
      </w:r>
      <w:r w:rsidR="00FC2C73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.</w:t>
      </w:r>
      <w:r w:rsidRPr="00BF6118">
        <w:rPr>
          <w:rFonts w:ascii="Arial" w:eastAsia="Times New Roman" w:hAnsi="Arial" w:cs="Arial"/>
          <w:color w:val="1F1F1F"/>
          <w:spacing w:val="12"/>
          <w:w w:val="90"/>
          <w:kern w:val="0"/>
          <w:lang w:val="bs"/>
          <w14:ligatures w14:val="none"/>
        </w:rPr>
        <w:t xml:space="preserve"> </w:t>
      </w:r>
      <w:r w:rsidR="00FC2C73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T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ako</w:t>
      </w:r>
      <w:r w:rsidR="00FC2C73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đ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er</w:t>
      </w:r>
      <w:r w:rsidRPr="00BF6118">
        <w:rPr>
          <w:rFonts w:ascii="Arial" w:eastAsia="Times New Roman" w:hAnsi="Arial" w:cs="Arial"/>
          <w:color w:val="1F1F1F"/>
          <w:spacing w:val="26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nema</w:t>
      </w:r>
      <w:r w:rsidRPr="00BF6118">
        <w:rPr>
          <w:rFonts w:ascii="Arial" w:eastAsia="Times New Roman" w:hAnsi="Arial" w:cs="Arial"/>
          <w:color w:val="1F1F1F"/>
          <w:spacing w:val="13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sudskih</w:t>
      </w:r>
      <w:r w:rsidRPr="00BF6118">
        <w:rPr>
          <w:rFonts w:ascii="Arial" w:eastAsia="Times New Roman" w:hAnsi="Arial" w:cs="Arial"/>
          <w:color w:val="1F1F1F"/>
          <w:spacing w:val="22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sporova</w:t>
      </w:r>
      <w:r w:rsidRPr="00BF6118">
        <w:rPr>
          <w:rFonts w:ascii="Arial" w:eastAsia="Times New Roman" w:hAnsi="Arial" w:cs="Arial"/>
          <w:color w:val="1F1F1F"/>
          <w:spacing w:val="31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u</w:t>
      </w:r>
      <w:r w:rsidRPr="00BF6118">
        <w:rPr>
          <w:rFonts w:ascii="Arial" w:eastAsia="Times New Roman" w:hAnsi="Arial" w:cs="Arial"/>
          <w:color w:val="1F1F1F"/>
          <w:spacing w:val="6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tijeku.</w:t>
      </w:r>
    </w:p>
    <w:p w14:paraId="4B630A90" w14:textId="02E98481" w:rsidR="00FC2C73" w:rsidRPr="00BF6118" w:rsidRDefault="00FC2C73" w:rsidP="00BF6118">
      <w:pPr>
        <w:widowControl w:val="0"/>
        <w:autoSpaceDE w:val="0"/>
        <w:autoSpaceDN w:val="0"/>
        <w:spacing w:before="241" w:line="225" w:lineRule="auto"/>
        <w:ind w:left="428" w:firstLine="3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 xml:space="preserve">ŠIFRA </w:t>
      </w:r>
      <w:r w:rsidR="00E37A6B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0223 – nabava novih osnovnih sredstava za redovan rad javne vatrogasne postrojbe.</w:t>
      </w:r>
    </w:p>
    <w:p w14:paraId="4C573C8A" w14:textId="3D25D731" w:rsidR="00BF6118" w:rsidRPr="00BF6118" w:rsidRDefault="00BF6118" w:rsidP="00BF6118">
      <w:pPr>
        <w:widowControl w:val="0"/>
        <w:autoSpaceDE w:val="0"/>
        <w:autoSpaceDN w:val="0"/>
        <w:spacing w:before="220"/>
        <w:ind w:left="426"/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ŠIFRA</w:t>
      </w:r>
      <w:r w:rsidRPr="00BF6118">
        <w:rPr>
          <w:rFonts w:ascii="Arial" w:eastAsia="Times New Roman" w:hAnsi="Arial" w:cs="Arial"/>
          <w:color w:val="1F1F1F"/>
          <w:spacing w:val="23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02922-</w:t>
      </w:r>
      <w:r w:rsidRPr="00BF6118">
        <w:rPr>
          <w:rFonts w:ascii="Arial" w:eastAsia="Times New Roman" w:hAnsi="Arial" w:cs="Arial"/>
          <w:color w:val="1F1F1F"/>
          <w:spacing w:val="24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ispravak</w:t>
      </w:r>
      <w:r w:rsidRPr="00BF6118">
        <w:rPr>
          <w:rFonts w:ascii="Arial" w:eastAsia="Times New Roman" w:hAnsi="Arial" w:cs="Arial"/>
          <w:color w:val="1F1F1F"/>
          <w:spacing w:val="32"/>
          <w:w w:val="90"/>
          <w:kern w:val="0"/>
          <w:lang w:val="bs"/>
          <w14:ligatures w14:val="none"/>
        </w:rPr>
        <w:t xml:space="preserve"> </w:t>
      </w:r>
      <w:r w:rsidR="00FC2C73">
        <w:rPr>
          <w:rFonts w:ascii="Arial" w:eastAsia="Times New Roman" w:hAnsi="Arial" w:cs="Arial"/>
          <w:color w:val="1F1F1F"/>
          <w:spacing w:val="32"/>
          <w:w w:val="90"/>
          <w:kern w:val="0"/>
          <w:lang w:val="bs"/>
          <w14:ligatures w14:val="none"/>
        </w:rPr>
        <w:t xml:space="preserve">ispravka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vrijednosti</w:t>
      </w:r>
      <w:r w:rsidRPr="00BF6118">
        <w:rPr>
          <w:rFonts w:ascii="Arial" w:eastAsia="Times New Roman" w:hAnsi="Arial" w:cs="Arial"/>
          <w:color w:val="1F1F1F"/>
          <w:spacing w:val="36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osnovnih</w:t>
      </w:r>
      <w:r w:rsidRPr="00BF6118">
        <w:rPr>
          <w:rFonts w:ascii="Arial" w:eastAsia="Times New Roman" w:hAnsi="Arial" w:cs="Arial"/>
          <w:color w:val="1F1F1F"/>
          <w:spacing w:val="29"/>
          <w:w w:val="90"/>
          <w:kern w:val="0"/>
          <w:lang w:val="bs"/>
          <w14:ligatures w14:val="none"/>
        </w:rPr>
        <w:t xml:space="preserve"> </w:t>
      </w: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sredstava</w:t>
      </w:r>
      <w:r w:rsidRPr="00BF6118">
        <w:rPr>
          <w:rFonts w:ascii="Arial" w:eastAsia="Times New Roman" w:hAnsi="Arial" w:cs="Arial"/>
          <w:color w:val="1F1F1F"/>
          <w:spacing w:val="33"/>
          <w:w w:val="90"/>
          <w:kern w:val="0"/>
          <w:lang w:val="bs"/>
          <w14:ligatures w14:val="none"/>
        </w:rPr>
        <w:t xml:space="preserve"> </w:t>
      </w:r>
      <w:r w:rsidR="00FC2C73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>u početnom stanju radi greške, kao i obračun i ispravak vrijednosti za 2024. godinu.</w:t>
      </w:r>
    </w:p>
    <w:p w14:paraId="49BA5445" w14:textId="61B692F1" w:rsidR="00BF6118" w:rsidRPr="00BF6118" w:rsidRDefault="00BF6118" w:rsidP="00BF6118">
      <w:pPr>
        <w:widowControl w:val="0"/>
        <w:autoSpaceDE w:val="0"/>
        <w:autoSpaceDN w:val="0"/>
        <w:spacing w:before="220"/>
        <w:ind w:left="426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 xml:space="preserve">ŠIFRA 042 i 049- </w:t>
      </w:r>
      <w:r w:rsidR="00E37A6B">
        <w:rPr>
          <w:rFonts w:ascii="Arial" w:eastAsia="Times New Roman" w:hAnsi="Arial" w:cs="Arial"/>
          <w:color w:val="1F1F1F"/>
          <w:w w:val="90"/>
          <w:kern w:val="0"/>
          <w:lang w:val="bs"/>
          <w14:ligatures w14:val="none"/>
        </w:rPr>
        <w:t xml:space="preserve">povećanje sitnog inventara u upotrebi i ispravak vrijednosti </w:t>
      </w:r>
      <w:r w:rsidR="00E37A6B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zbog potrebe obnove sredstava potrebnih za funkcioniranje javne vatrogasne postrojbe</w:t>
      </w:r>
      <w:r w:rsidR="00E37A6B">
        <w:rPr>
          <w:rFonts w:ascii="Arial" w:eastAsia="Times New Roman" w:hAnsi="Arial" w:cs="Arial"/>
          <w:color w:val="1F1F1F"/>
          <w:w w:val="95"/>
          <w:kern w:val="0"/>
          <w:lang w:val="bs"/>
          <w14:ligatures w14:val="none"/>
        </w:rPr>
        <w:t>.</w:t>
      </w:r>
    </w:p>
    <w:p w14:paraId="05FFF7F2" w14:textId="77777777" w:rsidR="00BF6118" w:rsidRPr="00BF6118" w:rsidRDefault="00BF6118" w:rsidP="00BF6118">
      <w:pPr>
        <w:widowControl w:val="0"/>
        <w:autoSpaceDE w:val="0"/>
        <w:autoSpaceDN w:val="0"/>
        <w:spacing w:line="220" w:lineRule="auto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15801B36" w14:textId="35C9EEA5" w:rsidR="00E37A6B" w:rsidRDefault="00E37A6B" w:rsidP="00E37A6B">
      <w:pPr>
        <w:widowControl w:val="0"/>
        <w:autoSpaceDE w:val="0"/>
        <w:autoSpaceDN w:val="0"/>
        <w:spacing w:line="220" w:lineRule="auto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kern w:val="0"/>
          <w:lang w:val="bs"/>
          <w14:ligatures w14:val="none"/>
        </w:rPr>
        <w:t xml:space="preserve">       Š</w:t>
      </w:r>
      <w:r w:rsidR="00BF6118"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IFRA 166- potraživanja za vlastite prihode po izdanim računima za uslugu vatrodojave i prijevoza </w:t>
      </w:r>
      <w:r>
        <w:rPr>
          <w:rFonts w:ascii="Arial" w:eastAsia="Times New Roman" w:hAnsi="Arial" w:cs="Arial"/>
          <w:kern w:val="0"/>
          <w:lang w:val="bs"/>
          <w14:ligatures w14:val="none"/>
        </w:rPr>
        <w:t xml:space="preserve">    </w:t>
      </w:r>
    </w:p>
    <w:p w14:paraId="375F6976" w14:textId="1ED508CF" w:rsidR="00BF6118" w:rsidRPr="00BF6118" w:rsidRDefault="00E37A6B" w:rsidP="00E37A6B">
      <w:pPr>
        <w:widowControl w:val="0"/>
        <w:autoSpaceDE w:val="0"/>
        <w:autoSpaceDN w:val="0"/>
        <w:spacing w:line="220" w:lineRule="auto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kern w:val="0"/>
          <w:lang w:val="bs"/>
          <w14:ligatures w14:val="none"/>
        </w:rPr>
        <w:t xml:space="preserve">       </w:t>
      </w:r>
      <w:r w:rsidR="00BF6118" w:rsidRPr="00BF6118">
        <w:rPr>
          <w:rFonts w:ascii="Arial" w:eastAsia="Times New Roman" w:hAnsi="Arial" w:cs="Arial"/>
          <w:kern w:val="0"/>
          <w:lang w:val="bs"/>
          <w14:ligatures w14:val="none"/>
        </w:rPr>
        <w:t>vode</w:t>
      </w:r>
      <w:r>
        <w:rPr>
          <w:rFonts w:ascii="Arial" w:eastAsia="Times New Roman" w:hAnsi="Arial" w:cs="Arial"/>
          <w:kern w:val="0"/>
          <w:lang w:val="bs"/>
          <w14:ligatures w14:val="none"/>
        </w:rPr>
        <w:t>.</w:t>
      </w:r>
    </w:p>
    <w:p w14:paraId="6FE19B85" w14:textId="77777777" w:rsidR="00BF6118" w:rsidRPr="00BF6118" w:rsidRDefault="00BF6118" w:rsidP="00BF6118">
      <w:pPr>
        <w:widowControl w:val="0"/>
        <w:autoSpaceDE w:val="0"/>
        <w:autoSpaceDN w:val="0"/>
        <w:spacing w:line="220" w:lineRule="auto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66D75F3B" w14:textId="4970D3FE" w:rsidR="00BF6118" w:rsidRPr="00BF6118" w:rsidRDefault="00B33EEE" w:rsidP="00A34A8B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kern w:val="0"/>
          <w:lang w:val="bs"/>
          <w14:ligatures w14:val="none"/>
        </w:rPr>
      </w:pPr>
      <w:r>
        <w:rPr>
          <w:rFonts w:ascii="Arial" w:eastAsia="Times New Roman" w:hAnsi="Arial" w:cs="Arial"/>
          <w:kern w:val="0"/>
          <w:lang w:val="bs"/>
          <w14:ligatures w14:val="none"/>
        </w:rPr>
        <w:t xml:space="preserve">       </w:t>
      </w:r>
      <w:r w:rsidR="00A34A8B">
        <w:rPr>
          <w:rFonts w:ascii="Arial" w:eastAsia="Times New Roman" w:hAnsi="Arial" w:cs="Arial"/>
          <w:kern w:val="0"/>
          <w:lang w:val="bs"/>
          <w14:ligatures w14:val="none"/>
        </w:rPr>
        <w:t xml:space="preserve">Nakon što je utvrđen rezultat poslovanja sa stanjem na dan 31.12.2024. godine, stanje na osnovnom računu 92211- Višak prihoda poslovanja iznosio je 18.814,66 eura, a stanje na osnovnom računu 92222-Manjak prihoda od nefinancijske imovine iznosio je 11.056,22 eura. Tijekom 2024. godine na osnovnom računu </w:t>
      </w:r>
      <w:r w:rsidR="008103BE">
        <w:rPr>
          <w:rFonts w:ascii="Arial" w:eastAsia="Times New Roman" w:hAnsi="Arial" w:cs="Arial"/>
          <w:kern w:val="0"/>
          <w:lang w:val="bs"/>
          <w14:ligatures w14:val="none"/>
        </w:rPr>
        <w:t>67121 evidentiran je prihod za financiranje rashoda za nabavu nefinancijske imovine u iznosu od 16.000,00 eura, te su ispunjena oba uvjeta za provođenje obvezne korekcije rezultata u 2024. godini. Izvršena je korekcija rezultata u iznosu od 8.734,30 eura, tj. rashod ostvaren na kontu 42233 – Oprema za protupožarnu zaštitu za koju je priznat rashod za nabavu nefinancijske imovine u 2024. godini.</w:t>
      </w:r>
      <w:r w:rsidR="00A34A8B">
        <w:rPr>
          <w:rFonts w:ascii="Arial" w:eastAsia="Times New Roman" w:hAnsi="Arial" w:cs="Arial"/>
          <w:kern w:val="0"/>
          <w:lang w:val="bs"/>
          <w14:ligatures w14:val="none"/>
        </w:rPr>
        <w:t xml:space="preserve"> </w:t>
      </w:r>
    </w:p>
    <w:p w14:paraId="6F6D5ADC" w14:textId="77777777" w:rsidR="00BF6118" w:rsidRPr="00BF6118" w:rsidRDefault="00BF6118" w:rsidP="00BF6118">
      <w:pPr>
        <w:widowControl w:val="0"/>
        <w:autoSpaceDE w:val="0"/>
        <w:autoSpaceDN w:val="0"/>
        <w:spacing w:line="220" w:lineRule="auto"/>
        <w:rPr>
          <w:rFonts w:ascii="Arial" w:eastAsia="Times New Roman" w:hAnsi="Arial" w:cs="Arial"/>
          <w:kern w:val="0"/>
          <w:lang w:val="bs"/>
          <w14:ligatures w14:val="none"/>
        </w:rPr>
        <w:sectPr w:rsidR="00BF6118" w:rsidRPr="00BF6118" w:rsidSect="00BF6118">
          <w:pgSz w:w="11910" w:h="16830"/>
          <w:pgMar w:top="1600" w:right="960" w:bottom="280" w:left="840" w:header="720" w:footer="720" w:gutter="0"/>
          <w:cols w:space="720"/>
        </w:sectPr>
      </w:pPr>
    </w:p>
    <w:p w14:paraId="5143907F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b/>
          <w:bCs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b/>
          <w:bCs/>
          <w:kern w:val="0"/>
          <w:lang w:val="bs"/>
          <w14:ligatures w14:val="none"/>
        </w:rPr>
        <w:lastRenderedPageBreak/>
        <w:t>4.</w:t>
      </w:r>
      <w:r w:rsidRPr="00BF6118">
        <w:rPr>
          <w:rFonts w:ascii="Arial" w:eastAsia="Times New Roman" w:hAnsi="Arial" w:cs="Arial"/>
          <w:b/>
          <w:bCs/>
          <w:kern w:val="0"/>
          <w:lang w:val="bs"/>
          <w14:ligatures w14:val="none"/>
        </w:rPr>
        <w:tab/>
        <w:t>Izvještaj o rashodima prema funkcijskoj klasifikacij</w:t>
      </w:r>
    </w:p>
    <w:p w14:paraId="280B4B9A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54602943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>ŠIFRA 032 – povećanje usluga na ime protupožarne zaštite.</w:t>
      </w:r>
    </w:p>
    <w:p w14:paraId="081BD2C6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2E71AAD5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59B369FF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b/>
          <w:bCs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b/>
          <w:bCs/>
          <w:kern w:val="0"/>
          <w:lang w:val="bs"/>
          <w14:ligatures w14:val="none"/>
        </w:rPr>
        <w:t>3.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b/>
          <w:bCs/>
          <w:kern w:val="0"/>
          <w:lang w:val="bs"/>
          <w14:ligatures w14:val="none"/>
        </w:rPr>
        <w:t>Bilješke uz obrazac OBVEZE</w:t>
      </w:r>
    </w:p>
    <w:p w14:paraId="52F63374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14235657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2AB4007A" w14:textId="67C654EF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ŠIFRA V006- Obveza </w:t>
      </w:r>
      <w:r w:rsidR="009922D2">
        <w:rPr>
          <w:rFonts w:ascii="Arial" w:eastAsia="Times New Roman" w:hAnsi="Arial" w:cs="Arial"/>
          <w:kern w:val="0"/>
          <w:lang w:val="bs"/>
          <w14:ligatures w14:val="none"/>
        </w:rPr>
        <w:t>za zaposlene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 za prosinac 202</w:t>
      </w:r>
      <w:r w:rsidR="009922D2">
        <w:rPr>
          <w:rFonts w:ascii="Arial" w:eastAsia="Times New Roman" w:hAnsi="Arial" w:cs="Arial"/>
          <w:kern w:val="0"/>
          <w:lang w:val="bs"/>
          <w14:ligatures w14:val="none"/>
        </w:rPr>
        <w:t>4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>.god., koja dospijeva u siječnju 202</w:t>
      </w:r>
      <w:r w:rsidR="009922D2">
        <w:rPr>
          <w:rFonts w:ascii="Arial" w:eastAsia="Times New Roman" w:hAnsi="Arial" w:cs="Arial"/>
          <w:kern w:val="0"/>
          <w:lang w:val="bs"/>
          <w14:ligatures w14:val="none"/>
        </w:rPr>
        <w:t>5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. god., </w:t>
      </w:r>
      <w:r w:rsidR="009922D2">
        <w:rPr>
          <w:rFonts w:ascii="Arial" w:eastAsia="Times New Roman" w:hAnsi="Arial" w:cs="Arial"/>
          <w:kern w:val="0"/>
          <w:lang w:val="bs"/>
          <w14:ligatures w14:val="none"/>
        </w:rPr>
        <w:t xml:space="preserve">kao i </w:t>
      </w:r>
      <w:r w:rsidRPr="00BF6118">
        <w:rPr>
          <w:rFonts w:ascii="Arial" w:eastAsia="Times New Roman" w:hAnsi="Arial" w:cs="Arial"/>
          <w:kern w:val="0"/>
          <w:lang w:val="bs"/>
          <w14:ligatures w14:val="none"/>
        </w:rPr>
        <w:t xml:space="preserve">obveze za </w:t>
      </w:r>
      <w:r w:rsidR="009922D2">
        <w:rPr>
          <w:rFonts w:ascii="Arial" w:eastAsia="Times New Roman" w:hAnsi="Arial" w:cs="Arial"/>
          <w:kern w:val="0"/>
          <w:lang w:val="bs"/>
          <w14:ligatures w14:val="none"/>
        </w:rPr>
        <w:t>materijalne rashode dospijeli u 2024. godini.</w:t>
      </w:r>
    </w:p>
    <w:p w14:paraId="56831CFD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7EFBF97D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239F199D" w14:textId="77777777" w:rsidR="00BF6118" w:rsidRPr="00BF6118" w:rsidRDefault="00BF6118" w:rsidP="00BF6118">
      <w:pPr>
        <w:widowControl w:val="0"/>
        <w:autoSpaceDE w:val="0"/>
        <w:autoSpaceDN w:val="0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29A65069" w14:textId="77777777" w:rsidR="00BF6118" w:rsidRPr="00BF6118" w:rsidRDefault="00BF6118" w:rsidP="00BF6118">
      <w:pPr>
        <w:widowControl w:val="0"/>
        <w:autoSpaceDE w:val="0"/>
        <w:autoSpaceDN w:val="0"/>
        <w:spacing w:before="7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182CE980" w14:textId="77777777" w:rsidR="00A34A8B" w:rsidRDefault="00BF6118" w:rsidP="00BF6118">
      <w:pPr>
        <w:widowControl w:val="0"/>
        <w:autoSpaceDE w:val="0"/>
        <w:autoSpaceDN w:val="0"/>
        <w:ind w:right="2017"/>
        <w:jc w:val="center"/>
        <w:rPr>
          <w:rFonts w:ascii="Arial" w:eastAsia="Times New Roman" w:hAnsi="Arial" w:cs="Arial"/>
          <w:color w:val="2A2A2A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 xml:space="preserve">                                                                                                </w:t>
      </w:r>
      <w:r w:rsidR="00A34A8B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 xml:space="preserve"> </w:t>
      </w:r>
    </w:p>
    <w:p w14:paraId="6C67A4B5" w14:textId="460990E3" w:rsidR="00BF6118" w:rsidRPr="00BF6118" w:rsidRDefault="00A34A8B" w:rsidP="00BF6118">
      <w:pPr>
        <w:widowControl w:val="0"/>
        <w:autoSpaceDE w:val="0"/>
        <w:autoSpaceDN w:val="0"/>
        <w:ind w:right="2017"/>
        <w:jc w:val="center"/>
        <w:rPr>
          <w:rFonts w:ascii="Arial" w:eastAsia="Times New Roman" w:hAnsi="Arial" w:cs="Arial"/>
          <w:color w:val="2A2A2A"/>
          <w:kern w:val="0"/>
          <w:lang w:val="bs"/>
          <w14:ligatures w14:val="none"/>
        </w:rPr>
      </w:pPr>
      <w:r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 xml:space="preserve">                                                                                            Zapovjednik:</w:t>
      </w:r>
    </w:p>
    <w:p w14:paraId="5F26A86A" w14:textId="77777777" w:rsidR="00BF6118" w:rsidRPr="00BF6118" w:rsidRDefault="00BF6118" w:rsidP="00BF6118">
      <w:pPr>
        <w:widowControl w:val="0"/>
        <w:autoSpaceDE w:val="0"/>
        <w:autoSpaceDN w:val="0"/>
        <w:ind w:right="2017"/>
        <w:jc w:val="center"/>
        <w:rPr>
          <w:rFonts w:ascii="Arial" w:eastAsia="Times New Roman" w:hAnsi="Arial" w:cs="Arial"/>
          <w:color w:val="2A2A2A"/>
          <w:kern w:val="0"/>
          <w:lang w:val="bs"/>
          <w14:ligatures w14:val="none"/>
        </w:rPr>
      </w:pPr>
    </w:p>
    <w:p w14:paraId="6917E3AA" w14:textId="78E403FF" w:rsidR="00BF6118" w:rsidRPr="00BF6118" w:rsidRDefault="00BF6118" w:rsidP="00BF6118">
      <w:pPr>
        <w:widowControl w:val="0"/>
        <w:autoSpaceDE w:val="0"/>
        <w:autoSpaceDN w:val="0"/>
        <w:ind w:right="2017"/>
        <w:rPr>
          <w:rFonts w:ascii="Arial" w:eastAsia="Times New Roman" w:hAnsi="Arial" w:cs="Arial"/>
          <w:kern w:val="0"/>
          <w:lang w:val="bs"/>
          <w14:ligatures w14:val="none"/>
        </w:rPr>
      </w:pP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</w:r>
      <w:r w:rsidRPr="00BF6118">
        <w:rPr>
          <w:rFonts w:ascii="Arial" w:eastAsia="Times New Roman" w:hAnsi="Arial" w:cs="Arial"/>
          <w:color w:val="2A2A2A"/>
          <w:kern w:val="0"/>
          <w:lang w:val="bs"/>
          <w14:ligatures w14:val="none"/>
        </w:rPr>
        <w:tab/>
        <w:t xml:space="preserve"> Marko Bešlić</w:t>
      </w:r>
    </w:p>
    <w:p w14:paraId="5485E5F2" w14:textId="77777777" w:rsidR="00BF6118" w:rsidRPr="00BF6118" w:rsidRDefault="00BF6118" w:rsidP="00BF6118">
      <w:pPr>
        <w:widowControl w:val="0"/>
        <w:autoSpaceDE w:val="0"/>
        <w:autoSpaceDN w:val="0"/>
        <w:spacing w:before="5"/>
        <w:rPr>
          <w:rFonts w:ascii="Arial" w:eastAsia="Times New Roman" w:hAnsi="Arial" w:cs="Arial"/>
          <w:kern w:val="0"/>
          <w:lang w:val="bs"/>
          <w14:ligatures w14:val="none"/>
        </w:rPr>
      </w:pPr>
    </w:p>
    <w:p w14:paraId="2CD03D1D" w14:textId="77777777" w:rsidR="007E04CD" w:rsidRDefault="007E04CD"/>
    <w:sectPr w:rsidR="007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41A4"/>
    <w:multiLevelType w:val="hybridMultilevel"/>
    <w:tmpl w:val="0AB0662C"/>
    <w:lvl w:ilvl="0" w:tplc="152EF198">
      <w:start w:val="1"/>
      <w:numFmt w:val="decimal"/>
      <w:lvlText w:val="%1."/>
      <w:lvlJc w:val="left"/>
      <w:pPr>
        <w:ind w:left="797" w:hanging="358"/>
        <w:jc w:val="right"/>
      </w:pPr>
      <w:rPr>
        <w:rFonts w:hint="default"/>
        <w:w w:val="109"/>
        <w:lang w:val="bs" w:eastAsia="en-US" w:bidi="ar-SA"/>
      </w:rPr>
    </w:lvl>
    <w:lvl w:ilvl="1" w:tplc="F048B216">
      <w:numFmt w:val="bullet"/>
      <w:lvlText w:val="•"/>
      <w:lvlJc w:val="left"/>
      <w:pPr>
        <w:ind w:left="1730" w:hanging="358"/>
      </w:pPr>
      <w:rPr>
        <w:rFonts w:hint="default"/>
        <w:lang w:val="bs" w:eastAsia="en-US" w:bidi="ar-SA"/>
      </w:rPr>
    </w:lvl>
    <w:lvl w:ilvl="2" w:tplc="77185D1E">
      <w:numFmt w:val="bullet"/>
      <w:lvlText w:val="•"/>
      <w:lvlJc w:val="left"/>
      <w:pPr>
        <w:ind w:left="2660" w:hanging="358"/>
      </w:pPr>
      <w:rPr>
        <w:rFonts w:hint="default"/>
        <w:lang w:val="bs" w:eastAsia="en-US" w:bidi="ar-SA"/>
      </w:rPr>
    </w:lvl>
    <w:lvl w:ilvl="3" w:tplc="9F4A6A44">
      <w:numFmt w:val="bullet"/>
      <w:lvlText w:val="•"/>
      <w:lvlJc w:val="left"/>
      <w:pPr>
        <w:ind w:left="3591" w:hanging="358"/>
      </w:pPr>
      <w:rPr>
        <w:rFonts w:hint="default"/>
        <w:lang w:val="bs" w:eastAsia="en-US" w:bidi="ar-SA"/>
      </w:rPr>
    </w:lvl>
    <w:lvl w:ilvl="4" w:tplc="3E68885E">
      <w:numFmt w:val="bullet"/>
      <w:lvlText w:val="•"/>
      <w:lvlJc w:val="left"/>
      <w:pPr>
        <w:ind w:left="4521" w:hanging="358"/>
      </w:pPr>
      <w:rPr>
        <w:rFonts w:hint="default"/>
        <w:lang w:val="bs" w:eastAsia="en-US" w:bidi="ar-SA"/>
      </w:rPr>
    </w:lvl>
    <w:lvl w:ilvl="5" w:tplc="2026ABE6">
      <w:numFmt w:val="bullet"/>
      <w:lvlText w:val="•"/>
      <w:lvlJc w:val="left"/>
      <w:pPr>
        <w:ind w:left="5452" w:hanging="358"/>
      </w:pPr>
      <w:rPr>
        <w:rFonts w:hint="default"/>
        <w:lang w:val="bs" w:eastAsia="en-US" w:bidi="ar-SA"/>
      </w:rPr>
    </w:lvl>
    <w:lvl w:ilvl="6" w:tplc="46020B7E">
      <w:numFmt w:val="bullet"/>
      <w:lvlText w:val="•"/>
      <w:lvlJc w:val="left"/>
      <w:pPr>
        <w:ind w:left="6382" w:hanging="358"/>
      </w:pPr>
      <w:rPr>
        <w:rFonts w:hint="default"/>
        <w:lang w:val="bs" w:eastAsia="en-US" w:bidi="ar-SA"/>
      </w:rPr>
    </w:lvl>
    <w:lvl w:ilvl="7" w:tplc="33DAB614">
      <w:numFmt w:val="bullet"/>
      <w:lvlText w:val="•"/>
      <w:lvlJc w:val="left"/>
      <w:pPr>
        <w:ind w:left="7312" w:hanging="358"/>
      </w:pPr>
      <w:rPr>
        <w:rFonts w:hint="default"/>
        <w:lang w:val="bs" w:eastAsia="en-US" w:bidi="ar-SA"/>
      </w:rPr>
    </w:lvl>
    <w:lvl w:ilvl="8" w:tplc="AB50B20E">
      <w:numFmt w:val="bullet"/>
      <w:lvlText w:val="•"/>
      <w:lvlJc w:val="left"/>
      <w:pPr>
        <w:ind w:left="8243" w:hanging="358"/>
      </w:pPr>
      <w:rPr>
        <w:rFonts w:hint="default"/>
        <w:lang w:val="bs" w:eastAsia="en-US" w:bidi="ar-SA"/>
      </w:rPr>
    </w:lvl>
  </w:abstractNum>
  <w:num w:numId="1" w16cid:durableId="15804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18"/>
    <w:rsid w:val="002C3899"/>
    <w:rsid w:val="007E04CD"/>
    <w:rsid w:val="008103BE"/>
    <w:rsid w:val="009922D2"/>
    <w:rsid w:val="00A34A8B"/>
    <w:rsid w:val="00A6035D"/>
    <w:rsid w:val="00B33EEE"/>
    <w:rsid w:val="00B85AC7"/>
    <w:rsid w:val="00BF6118"/>
    <w:rsid w:val="00C2462E"/>
    <w:rsid w:val="00E37A6B"/>
    <w:rsid w:val="00E6391B"/>
    <w:rsid w:val="00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F6E4"/>
  <w15:chartTrackingRefBased/>
  <w15:docId w15:val="{FF9B7A7B-EA55-4E0F-9DCF-8B0D46D7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F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1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1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1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1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1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1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1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1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1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1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1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1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1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1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1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Ćićerić</dc:creator>
  <cp:keywords/>
  <dc:description/>
  <cp:lastModifiedBy>Lidija Ćićerić</cp:lastModifiedBy>
  <cp:revision>1</cp:revision>
  <dcterms:created xsi:type="dcterms:W3CDTF">2025-01-30T07:09:00Z</dcterms:created>
  <dcterms:modified xsi:type="dcterms:W3CDTF">2025-01-30T11:00:00Z</dcterms:modified>
</cp:coreProperties>
</file>