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3AEC" w14:textId="77777777" w:rsidR="002C400B" w:rsidRDefault="002C400B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bookmarkStart w:id="0" w:name="_Hlk508885375"/>
      <w:bookmarkStart w:id="1" w:name="OLE_LINK2"/>
    </w:p>
    <w:p w14:paraId="5C5B2CC1" w14:textId="0022AA18" w:rsidR="002C400B" w:rsidRDefault="002C400B" w:rsidP="002C400B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  <w:r>
        <w:rPr>
          <w:iCs/>
          <w:lang w:val="hr-HR"/>
        </w:rPr>
        <w:t xml:space="preserve">Na temelju članka 40. Zakona o proračunu (Narodne novine broj </w:t>
      </w:r>
      <w:r>
        <w:rPr>
          <w:lang w:val="hr-HR"/>
        </w:rPr>
        <w:t>144/21</w:t>
      </w:r>
      <w:r>
        <w:rPr>
          <w:iCs/>
          <w:lang w:val="hr-HR"/>
        </w:rPr>
        <w:t xml:space="preserve">) i članka 31. Statuta Općine Podstrana (Službeni glasnik Općine Podstrana broj </w:t>
      </w:r>
      <w:r>
        <w:rPr>
          <w:lang w:val="hr-HR"/>
        </w:rPr>
        <w:t>7/21, 21/21</w:t>
      </w:r>
      <w:r w:rsidR="0040274A">
        <w:rPr>
          <w:lang w:val="hr-HR"/>
        </w:rPr>
        <w:t xml:space="preserve"> i 04/23</w:t>
      </w:r>
      <w:r>
        <w:rPr>
          <w:iCs/>
          <w:lang w:val="hr-HR"/>
        </w:rPr>
        <w:t xml:space="preserve">), Općinsko vijeće Općine Podstrana na </w:t>
      </w:r>
      <w:r w:rsidR="00BA3108">
        <w:rPr>
          <w:iCs/>
          <w:lang w:val="hr-HR"/>
        </w:rPr>
        <w:t xml:space="preserve">22. </w:t>
      </w:r>
      <w:r w:rsidR="00494872">
        <w:rPr>
          <w:iCs/>
          <w:lang w:val="hr-HR"/>
        </w:rPr>
        <w:t>sjednici</w:t>
      </w:r>
      <w:r>
        <w:rPr>
          <w:iCs/>
          <w:lang w:val="hr-HR"/>
        </w:rPr>
        <w:t xml:space="preserve"> održanoj dana </w:t>
      </w:r>
      <w:r w:rsidR="007F4063">
        <w:rPr>
          <w:iCs/>
          <w:lang w:val="hr-HR"/>
        </w:rPr>
        <w:t>11. prosinca</w:t>
      </w:r>
      <w:r w:rsidR="00494872">
        <w:rPr>
          <w:iCs/>
          <w:lang w:val="hr-HR"/>
        </w:rPr>
        <w:t xml:space="preserve"> 202</w:t>
      </w:r>
      <w:r w:rsidR="0040274A">
        <w:rPr>
          <w:iCs/>
          <w:lang w:val="hr-HR"/>
        </w:rPr>
        <w:t>3</w:t>
      </w:r>
      <w:r w:rsidR="00494872">
        <w:rPr>
          <w:iCs/>
          <w:lang w:val="hr-HR"/>
        </w:rPr>
        <w:t xml:space="preserve">. godine </w:t>
      </w:r>
      <w:r>
        <w:rPr>
          <w:iCs/>
          <w:lang w:val="hr-HR"/>
        </w:rPr>
        <w:t>donosi</w:t>
      </w:r>
    </w:p>
    <w:p w14:paraId="52BF5BD1" w14:textId="77777777" w:rsidR="002C400B" w:rsidRDefault="002C400B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</w:p>
    <w:p w14:paraId="672AEE1B" w14:textId="5C241F52" w:rsidR="00791237" w:rsidRPr="00E42377" w:rsidRDefault="00791237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r w:rsidRPr="00E42377">
        <w:rPr>
          <w:b/>
          <w:bCs/>
          <w:iCs/>
          <w:sz w:val="32"/>
          <w:szCs w:val="32"/>
          <w:lang w:val="hr-HR" w:eastAsia="hr-HR"/>
        </w:rPr>
        <w:t>Proračun Općine Podstrana za 20</w:t>
      </w:r>
      <w:r w:rsidR="008473FB" w:rsidRPr="00E42377">
        <w:rPr>
          <w:b/>
          <w:bCs/>
          <w:iCs/>
          <w:sz w:val="32"/>
          <w:szCs w:val="32"/>
          <w:lang w:val="hr-HR" w:eastAsia="hr-HR"/>
        </w:rPr>
        <w:t>2</w:t>
      </w:r>
      <w:r w:rsidR="0040274A">
        <w:rPr>
          <w:b/>
          <w:bCs/>
          <w:iCs/>
          <w:sz w:val="32"/>
          <w:szCs w:val="32"/>
          <w:lang w:val="hr-HR" w:eastAsia="hr-HR"/>
        </w:rPr>
        <w:t>4</w:t>
      </w:r>
      <w:r w:rsidRPr="00E42377">
        <w:rPr>
          <w:b/>
          <w:bCs/>
          <w:iCs/>
          <w:sz w:val="32"/>
          <w:szCs w:val="32"/>
          <w:lang w:val="hr-HR" w:eastAsia="hr-HR"/>
        </w:rPr>
        <w:t>. godinu</w:t>
      </w:r>
    </w:p>
    <w:p w14:paraId="74FD660F" w14:textId="5C57495A" w:rsidR="00E665D1" w:rsidRPr="00E42377" w:rsidRDefault="00791237" w:rsidP="001B7675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val="hr-HR" w:eastAsia="hr-HR"/>
        </w:rPr>
      </w:pPr>
      <w:r w:rsidRPr="00E42377">
        <w:rPr>
          <w:b/>
          <w:bCs/>
          <w:iCs/>
          <w:sz w:val="32"/>
          <w:szCs w:val="32"/>
          <w:lang w:val="hr-HR" w:eastAsia="hr-HR"/>
        </w:rPr>
        <w:t>i projekcij</w:t>
      </w:r>
      <w:r w:rsidR="0091332E" w:rsidRPr="00E42377">
        <w:rPr>
          <w:b/>
          <w:bCs/>
          <w:iCs/>
          <w:sz w:val="32"/>
          <w:szCs w:val="32"/>
          <w:lang w:val="hr-HR" w:eastAsia="hr-HR"/>
        </w:rPr>
        <w:t>e</w:t>
      </w:r>
      <w:r w:rsidRPr="00E42377">
        <w:rPr>
          <w:b/>
          <w:bCs/>
          <w:iCs/>
          <w:sz w:val="32"/>
          <w:szCs w:val="32"/>
          <w:lang w:val="hr-HR" w:eastAsia="hr-HR"/>
        </w:rPr>
        <w:t xml:space="preserve"> za 20</w:t>
      </w:r>
      <w:r w:rsidR="00BE4945" w:rsidRPr="00E42377">
        <w:rPr>
          <w:b/>
          <w:bCs/>
          <w:iCs/>
          <w:sz w:val="32"/>
          <w:szCs w:val="32"/>
          <w:lang w:val="hr-HR" w:eastAsia="hr-HR"/>
        </w:rPr>
        <w:t>2</w:t>
      </w:r>
      <w:r w:rsidR="0040274A">
        <w:rPr>
          <w:b/>
          <w:bCs/>
          <w:iCs/>
          <w:sz w:val="32"/>
          <w:szCs w:val="32"/>
          <w:lang w:val="hr-HR" w:eastAsia="hr-HR"/>
        </w:rPr>
        <w:t>5</w:t>
      </w:r>
      <w:r w:rsidRPr="00E42377">
        <w:rPr>
          <w:b/>
          <w:bCs/>
          <w:iCs/>
          <w:sz w:val="32"/>
          <w:szCs w:val="32"/>
          <w:lang w:val="hr-HR" w:eastAsia="hr-HR"/>
        </w:rPr>
        <w:t>. i 202</w:t>
      </w:r>
      <w:r w:rsidR="0040274A">
        <w:rPr>
          <w:b/>
          <w:bCs/>
          <w:iCs/>
          <w:sz w:val="32"/>
          <w:szCs w:val="32"/>
          <w:lang w:val="hr-HR" w:eastAsia="hr-HR"/>
        </w:rPr>
        <w:t>6</w:t>
      </w:r>
      <w:r w:rsidRPr="00E42377">
        <w:rPr>
          <w:b/>
          <w:bCs/>
          <w:iCs/>
          <w:sz w:val="32"/>
          <w:szCs w:val="32"/>
          <w:lang w:val="hr-HR" w:eastAsia="hr-HR"/>
        </w:rPr>
        <w:t>. godinu</w:t>
      </w:r>
    </w:p>
    <w:bookmarkEnd w:id="0"/>
    <w:p w14:paraId="38414F00" w14:textId="77777777" w:rsidR="009B7C1E" w:rsidRPr="00E42377" w:rsidRDefault="009B7C1E" w:rsidP="00590164">
      <w:pPr>
        <w:widowControl w:val="0"/>
        <w:autoSpaceDE w:val="0"/>
        <w:autoSpaceDN w:val="0"/>
        <w:adjustRightInd w:val="0"/>
        <w:jc w:val="center"/>
        <w:rPr>
          <w:i/>
          <w:iCs/>
          <w:sz w:val="36"/>
          <w:szCs w:val="36"/>
          <w:lang w:val="hr-HR"/>
        </w:rPr>
      </w:pPr>
    </w:p>
    <w:p w14:paraId="3C808F16" w14:textId="77777777" w:rsidR="004F3682" w:rsidRPr="00E42377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  <w:lang w:val="hr-HR"/>
        </w:rPr>
      </w:pPr>
      <w:r w:rsidRPr="00E42377">
        <w:rPr>
          <w:b/>
          <w:bCs/>
          <w:iCs/>
          <w:sz w:val="28"/>
          <w:szCs w:val="28"/>
          <w:lang w:val="hr-HR"/>
        </w:rPr>
        <w:t>OPĆI DIO</w:t>
      </w:r>
    </w:p>
    <w:p w14:paraId="2AFE21E6" w14:textId="77777777" w:rsidR="00E665D1" w:rsidRPr="00E42377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>Članak 1.</w:t>
      </w:r>
    </w:p>
    <w:p w14:paraId="13A4BB1C" w14:textId="417B580B" w:rsidR="00494872" w:rsidRDefault="00E665D1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  <w:r w:rsidRPr="00E42377">
        <w:rPr>
          <w:iCs/>
          <w:lang w:val="hr-HR"/>
        </w:rPr>
        <w:t xml:space="preserve">Proračun </w:t>
      </w:r>
      <w:r w:rsidR="002C6159" w:rsidRPr="00E42377">
        <w:rPr>
          <w:iCs/>
          <w:lang w:val="hr-HR"/>
        </w:rPr>
        <w:t>Općine</w:t>
      </w:r>
      <w:r w:rsidRPr="00E42377">
        <w:rPr>
          <w:iCs/>
          <w:lang w:val="hr-HR"/>
        </w:rPr>
        <w:t xml:space="preserve"> Podstrana za </w:t>
      </w:r>
      <w:r w:rsidR="00DD4E48" w:rsidRPr="00E42377">
        <w:rPr>
          <w:iCs/>
          <w:lang w:val="hr-HR"/>
        </w:rPr>
        <w:t>20</w:t>
      </w:r>
      <w:r w:rsidR="008473FB" w:rsidRPr="00E42377">
        <w:rPr>
          <w:iCs/>
          <w:lang w:val="hr-HR"/>
        </w:rPr>
        <w:t>2</w:t>
      </w:r>
      <w:r w:rsidR="00614060">
        <w:rPr>
          <w:iCs/>
          <w:lang w:val="hr-HR"/>
        </w:rPr>
        <w:t>4</w:t>
      </w:r>
      <w:r w:rsidR="00FD632F" w:rsidRPr="00E42377">
        <w:rPr>
          <w:iCs/>
          <w:lang w:val="hr-HR"/>
        </w:rPr>
        <w:t>.</w:t>
      </w:r>
      <w:r w:rsidRPr="00E42377">
        <w:rPr>
          <w:iCs/>
          <w:lang w:val="hr-HR"/>
        </w:rPr>
        <w:t xml:space="preserve"> godinu (u daljnjem tekstu „Proračun“)</w:t>
      </w:r>
      <w:r w:rsidR="007B560F" w:rsidRPr="00E42377">
        <w:rPr>
          <w:iCs/>
          <w:lang w:val="hr-HR"/>
        </w:rPr>
        <w:t xml:space="preserve"> </w:t>
      </w:r>
      <w:r w:rsidRPr="00E42377">
        <w:rPr>
          <w:iCs/>
          <w:lang w:val="hr-HR"/>
        </w:rPr>
        <w:t>sastoji se od</w:t>
      </w:r>
      <w:r w:rsidR="00494872">
        <w:rPr>
          <w:iCs/>
          <w:lang w:val="hr-HR"/>
        </w:rPr>
        <w:t>:</w:t>
      </w:r>
    </w:p>
    <w:p w14:paraId="3CE1DC14" w14:textId="77777777" w:rsidR="00614060" w:rsidRDefault="00614060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7C8DBA2C" w14:textId="77777777" w:rsidR="00614060" w:rsidRDefault="00614060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tbl>
      <w:tblPr>
        <w:tblW w:w="14572" w:type="dxa"/>
        <w:tblLook w:val="04A0" w:firstRow="1" w:lastRow="0" w:firstColumn="1" w:lastColumn="0" w:noHBand="0" w:noVBand="1"/>
      </w:tblPr>
      <w:tblGrid>
        <w:gridCol w:w="796"/>
        <w:gridCol w:w="5016"/>
        <w:gridCol w:w="2096"/>
        <w:gridCol w:w="2000"/>
        <w:gridCol w:w="2332"/>
        <w:gridCol w:w="2332"/>
      </w:tblGrid>
      <w:tr w:rsidR="00614060" w14:paraId="3627E874" w14:textId="77777777" w:rsidTr="00CD6B5D">
        <w:trPr>
          <w:trHeight w:val="792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F02B" w14:textId="77777777" w:rsidR="00614060" w:rsidRDefault="00614060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60C9" w14:textId="77777777" w:rsidR="00614060" w:rsidRPr="0065357F" w:rsidRDefault="00614060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12926816" w14:textId="77777777" w:rsidR="00614060" w:rsidRPr="0065357F" w:rsidRDefault="006140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  <w:p w14:paraId="063CAB61" w14:textId="0859E75C" w:rsidR="00CD6B5D" w:rsidRDefault="00CD6B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2023.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DD95" w14:textId="7C0D6F2A" w:rsidR="00614060" w:rsidRDefault="006140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2024</w:t>
            </w:r>
            <w:r w:rsidR="00CD6B5D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5999" w14:textId="2A6E87AF" w:rsidR="00614060" w:rsidRDefault="006140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PROJEKCIJA 2025</w:t>
            </w:r>
            <w:r w:rsidR="00CD6B5D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0C76" w14:textId="6D580DED" w:rsidR="00614060" w:rsidRDefault="006140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PROJEKCIJA 2026</w:t>
            </w:r>
            <w:r w:rsidR="00CD6B5D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614060" w:rsidRPr="007F4063" w14:paraId="583EADE4" w14:textId="77777777" w:rsidTr="00CD6B5D">
        <w:trPr>
          <w:trHeight w:val="403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40D7EF6" w14:textId="46E88FFF" w:rsidR="00614060" w:rsidRPr="00614060" w:rsidRDefault="00614060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614060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A. </w:t>
            </w:r>
            <w:proofErr w:type="spellStart"/>
            <w:r w:rsidR="00CD6B5D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Sažetak</w:t>
            </w:r>
            <w:proofErr w:type="spellEnd"/>
            <w:r w:rsidR="00CD6B5D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4060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Račun</w:t>
            </w:r>
            <w:proofErr w:type="spellEnd"/>
            <w:r w:rsidRPr="00614060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4060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prihoda</w:t>
            </w:r>
            <w:proofErr w:type="spellEnd"/>
            <w:r w:rsidRPr="00614060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614060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rashoda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4146EAA4" w14:textId="77777777" w:rsidR="00614060" w:rsidRPr="00614060" w:rsidRDefault="00614060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CC6E86" w14:textId="60874AA1" w:rsidR="00614060" w:rsidRPr="00614060" w:rsidRDefault="00614060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B8C546" w14:textId="77777777" w:rsidR="00614060" w:rsidRPr="00614060" w:rsidRDefault="00614060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74E9EB" w14:textId="77777777" w:rsidR="00614060" w:rsidRPr="00614060" w:rsidRDefault="00614060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</w:tr>
      <w:tr w:rsidR="008D7154" w14:paraId="18A602DC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F5A4" w14:textId="77777777" w:rsidR="008D7154" w:rsidRDefault="008D7154" w:rsidP="008D7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9169" w14:textId="77777777" w:rsidR="008D7154" w:rsidRDefault="008D7154" w:rsidP="008D71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34568FF2" w14:textId="03B39F3D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10.135.994,79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344C" w14:textId="48594715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11.842.745,29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2890" w14:textId="59E3015D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14.692.300,00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1E2A" w14:textId="5B2C9193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14.530.300,00</w:t>
            </w:r>
          </w:p>
        </w:tc>
      </w:tr>
      <w:tr w:rsidR="008D7154" w14:paraId="4A23BCA4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5DFB" w14:textId="77777777" w:rsidR="008D7154" w:rsidRDefault="008D7154" w:rsidP="008D7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3888" w14:textId="77777777" w:rsidR="008D7154" w:rsidRDefault="008D7154" w:rsidP="008D71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prodaje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nefinancijske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imovine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7454AAC0" w14:textId="4FB13D79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9.955,00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84C8" w14:textId="7FD65490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E284" w14:textId="007CCF3D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D783" w14:textId="29680E86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8D7154" w14:paraId="5602E7C3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08C9AD" w14:textId="77777777" w:rsidR="008D7154" w:rsidRDefault="008D7154" w:rsidP="008D7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2DD37A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AE7E9C4" w14:textId="7E640F3B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10.145.949.79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16E329" w14:textId="623617A1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11.842.745,29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156EB2" w14:textId="0F6F8DA6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14.692.300,00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444B21" w14:textId="38BF216A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14.530.300,00</w:t>
            </w:r>
          </w:p>
        </w:tc>
      </w:tr>
      <w:tr w:rsidR="008D7154" w14:paraId="203931D1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0C35" w14:textId="77777777" w:rsidR="008D7154" w:rsidRDefault="008D7154" w:rsidP="008D7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18C8" w14:textId="77777777" w:rsidR="008D7154" w:rsidRDefault="008D7154" w:rsidP="008D71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2CE792CE" w14:textId="211D48B1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8.248.664,78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8E17" w14:textId="2B5ECEF0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8.125.725,29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F59B" w14:textId="763F589B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7.703.680,00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E858" w14:textId="183AE820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7.613.380,00</w:t>
            </w:r>
          </w:p>
        </w:tc>
      </w:tr>
      <w:tr w:rsidR="008D7154" w14:paraId="0CD2B396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DB18" w14:textId="77777777" w:rsidR="008D7154" w:rsidRDefault="008D7154" w:rsidP="008D7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FC17" w14:textId="77777777" w:rsidR="008D7154" w:rsidRPr="00614060" w:rsidRDefault="008D7154" w:rsidP="008D7154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Rashodi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nabavu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nefinancijske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1DC07ADA" w14:textId="298E7677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4.088.153,61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C60F" w14:textId="73A11F66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6.125.000,00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2721" w14:textId="432592CC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7.596.000,00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1C98" w14:textId="4C205F9C" w:rsidR="008D7154" w:rsidRDefault="008D7154" w:rsidP="008D715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7.246.000,00</w:t>
            </w:r>
          </w:p>
        </w:tc>
      </w:tr>
      <w:tr w:rsidR="008D7154" w14:paraId="38410A32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03618" w14:textId="77777777" w:rsidR="008D7154" w:rsidRDefault="008D7154" w:rsidP="008D7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67FDD3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2548D55" w14:textId="6681ED58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12.336.818.38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816FF4" w14:textId="059791BA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14.250.725,29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B0B77D" w14:textId="1E3C900C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15.299.680,00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7BF3B4" w14:textId="7AB7CFF2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14.859.380,00</w:t>
            </w:r>
          </w:p>
        </w:tc>
      </w:tr>
      <w:tr w:rsidR="00C43448" w14:paraId="50CFC6D3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30F6C8" w14:textId="77777777" w:rsidR="00C43448" w:rsidRDefault="00C43448" w:rsidP="00C43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82F99" w14:textId="77777777" w:rsidR="00C43448" w:rsidRDefault="00C43448" w:rsidP="00C434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Razlika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5F1D4697" w14:textId="37D1DF0B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-2.190.868.60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C6CB5C" w14:textId="490024FE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-2.407.980,00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746CE7" w14:textId="5449E134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-607.380,00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82A3BA" w14:textId="1D2731B1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-329.080,00</w:t>
            </w:r>
          </w:p>
        </w:tc>
      </w:tr>
      <w:tr w:rsidR="00C43448" w14:paraId="40073CDA" w14:textId="77777777" w:rsidTr="00CD6B5D">
        <w:trPr>
          <w:trHeight w:val="21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6597" w14:textId="77777777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4300" w14:textId="77777777" w:rsidR="00C43448" w:rsidRDefault="00C43448" w:rsidP="00C43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405AC021" w14:textId="77777777" w:rsidR="00C43448" w:rsidRDefault="00C43448" w:rsidP="00C43448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151E" w14:textId="0129EC4C" w:rsidR="00C43448" w:rsidRDefault="00C43448" w:rsidP="00C43448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E9A0" w14:textId="77777777" w:rsidR="00C43448" w:rsidRDefault="00C43448" w:rsidP="00C43448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9522" w14:textId="77777777" w:rsidR="00C43448" w:rsidRDefault="00C43448" w:rsidP="00C43448">
            <w:pPr>
              <w:rPr>
                <w:sz w:val="20"/>
                <w:szCs w:val="20"/>
              </w:rPr>
            </w:pPr>
          </w:p>
        </w:tc>
      </w:tr>
      <w:tr w:rsidR="00C43448" w14:paraId="7395B07F" w14:textId="77777777" w:rsidTr="00CD6B5D">
        <w:trPr>
          <w:trHeight w:val="403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B648A4" w14:textId="6CA03AF7" w:rsidR="00C43448" w:rsidRDefault="00C43448" w:rsidP="00C434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Sažetak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financiranja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5ACEEC46" w14:textId="77777777" w:rsidR="00C43448" w:rsidRDefault="00C43448" w:rsidP="00C434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0DA66E" w14:textId="74898562" w:rsidR="00C43448" w:rsidRDefault="00C43448" w:rsidP="00C434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2B67E56" w14:textId="2CBBD300" w:rsidR="00C43448" w:rsidRDefault="00C43448" w:rsidP="00C434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1981CF" w14:textId="0D6D53DE" w:rsidR="00C43448" w:rsidRDefault="00C43448" w:rsidP="00C434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43448" w14:paraId="3CF0ED70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F138" w14:textId="77777777" w:rsidR="00C43448" w:rsidRDefault="00C43448" w:rsidP="00C43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DF90" w14:textId="77777777" w:rsidR="00C43448" w:rsidRPr="00614060" w:rsidRDefault="00C43448" w:rsidP="00C4344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Primici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od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financijske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imovine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zaduživanja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0E4BCE73" w14:textId="1FFCDE60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118.310,18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7893" w14:textId="7DCE47FB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335.421,58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4A0A" w14:textId="08FCBD6D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607.380,00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22AC" w14:textId="6A61B1CD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329.080,00</w:t>
            </w:r>
          </w:p>
        </w:tc>
      </w:tr>
      <w:tr w:rsidR="00C43448" w:rsidRPr="007F4063" w14:paraId="285DCC38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AA13" w14:textId="77777777" w:rsidR="00C43448" w:rsidRDefault="00C43448" w:rsidP="00C43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39D9" w14:textId="77777777" w:rsidR="00C43448" w:rsidRPr="00614060" w:rsidRDefault="00C43448" w:rsidP="00C4344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Izdaci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financijsku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imovinu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otplate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zajmova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488CA5FA" w14:textId="77777777" w:rsidR="00C43448" w:rsidRPr="00614060" w:rsidRDefault="00C43448" w:rsidP="00C4344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1459" w14:textId="0D3BC1F6" w:rsidR="00C43448" w:rsidRPr="00614060" w:rsidRDefault="00C43448" w:rsidP="00C4344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74FF" w14:textId="77777777" w:rsidR="00C43448" w:rsidRPr="00614060" w:rsidRDefault="00C43448" w:rsidP="00C4344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2C3C" w14:textId="77777777" w:rsidR="00C43448" w:rsidRPr="00614060" w:rsidRDefault="00C43448" w:rsidP="00C43448">
            <w:pPr>
              <w:rPr>
                <w:sz w:val="20"/>
                <w:szCs w:val="20"/>
                <w:lang w:val="it-IT"/>
              </w:rPr>
            </w:pPr>
          </w:p>
        </w:tc>
      </w:tr>
      <w:tr w:rsidR="00C43448" w14:paraId="1799D3E0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7052B1" w14:textId="77777777" w:rsidR="00C43448" w:rsidRPr="00614060" w:rsidRDefault="00C43448" w:rsidP="00C4344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14060">
              <w:rPr>
                <w:rFonts w:ascii="Arial" w:hAnsi="Arial" w:cs="Arial"/>
                <w:sz w:val="20"/>
                <w:szCs w:val="20"/>
                <w:lang w:val="it-IT"/>
              </w:rPr>
              <w:t> 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211BAE" w14:textId="77777777" w:rsidR="00C43448" w:rsidRDefault="00C43448" w:rsidP="00C434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Neto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financiranje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59E814F2" w14:textId="62C40501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118.310,18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2FB1B6" w14:textId="2880C026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335.421,58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C1623E" w14:textId="48C8B3BD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607.380,00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E2B72B" w14:textId="7532FD57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329.080,00</w:t>
            </w:r>
          </w:p>
        </w:tc>
      </w:tr>
      <w:tr w:rsidR="00CD6B5D" w14:paraId="47367F0D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B629A6C" w14:textId="77777777" w:rsidR="00CD6B5D" w:rsidRPr="00614060" w:rsidRDefault="00CD6B5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0CAEB31" w14:textId="77777777" w:rsidR="00CD6B5D" w:rsidRDefault="00CD6B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03AD74FF" w14:textId="77777777" w:rsidR="00CD6B5D" w:rsidRDefault="00CD6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06E04F9" w14:textId="77777777" w:rsidR="00CD6B5D" w:rsidRDefault="00CD6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7C19B7C" w14:textId="77777777" w:rsidR="00CD6B5D" w:rsidRDefault="00CD6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976A220" w14:textId="77777777" w:rsidR="00CD6B5D" w:rsidRDefault="00CD6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14060" w14:paraId="1DE7A57F" w14:textId="77777777" w:rsidTr="00CD6B5D">
        <w:trPr>
          <w:trHeight w:val="21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F765" w14:textId="77777777" w:rsidR="00614060" w:rsidRDefault="0061406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87F3" w14:textId="77777777" w:rsidR="00614060" w:rsidRDefault="00614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2427CE4D" w14:textId="77777777" w:rsidR="00614060" w:rsidRDefault="00614060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6033" w14:textId="37787B87" w:rsidR="00614060" w:rsidRDefault="00614060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6615" w14:textId="77777777" w:rsidR="00614060" w:rsidRDefault="00614060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2081" w14:textId="77777777" w:rsidR="00614060" w:rsidRDefault="00614060">
            <w:pPr>
              <w:rPr>
                <w:sz w:val="20"/>
                <w:szCs w:val="20"/>
              </w:rPr>
            </w:pPr>
          </w:p>
        </w:tc>
      </w:tr>
      <w:tr w:rsidR="00614060" w14:paraId="6F66C31A" w14:textId="77777777" w:rsidTr="00CD6B5D">
        <w:trPr>
          <w:trHeight w:val="403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AC4A831" w14:textId="77777777" w:rsidR="00614060" w:rsidRDefault="006140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C.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Raspoloživa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sredstva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prethodnih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godina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0484B220" w14:textId="77777777" w:rsidR="00614060" w:rsidRDefault="006140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5753C56" w14:textId="262214CD" w:rsidR="00614060" w:rsidRDefault="006140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D989598" w14:textId="77777777" w:rsidR="00614060" w:rsidRDefault="006140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1AFC6B5" w14:textId="77777777" w:rsidR="00614060" w:rsidRDefault="006140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14060" w14:paraId="7D2A723C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57A2DF" w14:textId="77777777" w:rsidR="00614060" w:rsidRDefault="00614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102A8A" w14:textId="77777777" w:rsidR="00614060" w:rsidRDefault="0061406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Višak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manjak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prethodne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5B30187F" w14:textId="7CC593C0" w:rsidR="00614060" w:rsidRDefault="00CD6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3CCEB2" w14:textId="71B22B32" w:rsidR="00614060" w:rsidRDefault="0061406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2.072.558,42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D23EFB" w14:textId="77777777" w:rsidR="00614060" w:rsidRDefault="0061406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C7057D" w14:textId="77777777" w:rsidR="00614060" w:rsidRDefault="0061406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614060" w14:paraId="7184CBF2" w14:textId="77777777" w:rsidTr="00CD6B5D">
        <w:trPr>
          <w:trHeight w:val="21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623A" w14:textId="77777777" w:rsidR="00614060" w:rsidRDefault="0061406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43C7" w14:textId="77777777" w:rsidR="00614060" w:rsidRDefault="00614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3390DE87" w14:textId="77777777" w:rsidR="00614060" w:rsidRDefault="00614060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1B09" w14:textId="5F289960" w:rsidR="00614060" w:rsidRDefault="00614060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F7C5" w14:textId="77777777" w:rsidR="00614060" w:rsidRDefault="00614060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0FB0" w14:textId="77777777" w:rsidR="00614060" w:rsidRDefault="00614060">
            <w:pPr>
              <w:rPr>
                <w:sz w:val="20"/>
                <w:szCs w:val="20"/>
              </w:rPr>
            </w:pPr>
          </w:p>
        </w:tc>
      </w:tr>
    </w:tbl>
    <w:p w14:paraId="52E775B3" w14:textId="77777777" w:rsidR="00CD6B5D" w:rsidRDefault="00CD6B5D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086628E1" w14:textId="523AF8AF" w:rsidR="008158F7" w:rsidRDefault="008158F7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798BBBD1" w14:textId="392F9528" w:rsidR="00E464CB" w:rsidRDefault="006860D9" w:rsidP="00C24FD2">
      <w:pPr>
        <w:pStyle w:val="Odlomakpopisa"/>
        <w:numPr>
          <w:ilvl w:val="0"/>
          <w:numId w:val="17"/>
        </w:numPr>
        <w:rPr>
          <w:rFonts w:ascii="Calibri" w:hAnsi="Calibri" w:cs="Calibri"/>
          <w:b/>
          <w:iCs/>
          <w:lang w:val="hr-HR"/>
        </w:rPr>
      </w:pPr>
      <w:r w:rsidRPr="00C24FD2">
        <w:rPr>
          <w:rFonts w:ascii="Calibri" w:hAnsi="Calibri" w:cs="Calibri"/>
          <w:b/>
          <w:iCs/>
          <w:lang w:val="hr-HR"/>
        </w:rPr>
        <w:t>RAČUN PRIHODA I RASHODA</w:t>
      </w:r>
    </w:p>
    <w:p w14:paraId="417AFDFF" w14:textId="77777777" w:rsidR="00CD55B3" w:rsidRDefault="00CD55B3" w:rsidP="00CD55B3">
      <w:pPr>
        <w:rPr>
          <w:rFonts w:ascii="Calibri" w:hAnsi="Calibri" w:cs="Calibri"/>
          <w:b/>
          <w:iCs/>
          <w:lang w:val="hr-HR"/>
        </w:rPr>
      </w:pPr>
    </w:p>
    <w:p w14:paraId="122BE652" w14:textId="3EA3C818" w:rsidR="00C24FD2" w:rsidRDefault="00CD55B3" w:rsidP="00C24FD2">
      <w:pPr>
        <w:rPr>
          <w:rFonts w:ascii="Calibri" w:hAnsi="Calibri" w:cs="Calibri"/>
          <w:lang w:val="hr-HR"/>
        </w:rPr>
      </w:pPr>
      <w:r>
        <w:rPr>
          <w:bCs/>
          <w:iCs/>
          <w:lang w:val="hr-HR"/>
        </w:rPr>
        <w:t>Prihodi</w:t>
      </w:r>
      <w:r w:rsidRPr="00E42377">
        <w:rPr>
          <w:bCs/>
          <w:iCs/>
          <w:lang w:val="hr-HR"/>
        </w:rPr>
        <w:t xml:space="preserve"> </w:t>
      </w:r>
      <w:r>
        <w:rPr>
          <w:bCs/>
          <w:iCs/>
          <w:lang w:val="hr-HR"/>
        </w:rPr>
        <w:t xml:space="preserve">i rashodi </w:t>
      </w:r>
      <w:r w:rsidRPr="00E42377">
        <w:rPr>
          <w:bCs/>
          <w:iCs/>
          <w:lang w:val="hr-HR"/>
        </w:rPr>
        <w:t xml:space="preserve">iskazani </w:t>
      </w:r>
      <w:r>
        <w:rPr>
          <w:bCs/>
          <w:iCs/>
          <w:lang w:val="hr-HR"/>
        </w:rPr>
        <w:t>prema ekonomskoj klasifikaciji na razini skupine</w:t>
      </w:r>
      <w:r w:rsidRPr="00E42377">
        <w:rPr>
          <w:bCs/>
          <w:iCs/>
          <w:lang w:val="hr-HR"/>
        </w:rPr>
        <w:t>:</w:t>
      </w:r>
    </w:p>
    <w:p w14:paraId="326038D3" w14:textId="77777777" w:rsidR="00C24FD2" w:rsidRDefault="00C24FD2" w:rsidP="00C24FD2">
      <w:pPr>
        <w:rPr>
          <w:rFonts w:ascii="Calibri" w:hAnsi="Calibri" w:cs="Calibri"/>
          <w:lang w:val="hr-HR"/>
        </w:rPr>
      </w:pPr>
    </w:p>
    <w:tbl>
      <w:tblPr>
        <w:tblW w:w="14934" w:type="dxa"/>
        <w:tblLook w:val="04A0" w:firstRow="1" w:lastRow="0" w:firstColumn="1" w:lastColumn="0" w:noHBand="0" w:noVBand="1"/>
      </w:tblPr>
      <w:tblGrid>
        <w:gridCol w:w="924"/>
        <w:gridCol w:w="7874"/>
        <w:gridCol w:w="1534"/>
        <w:gridCol w:w="1534"/>
        <w:gridCol w:w="1534"/>
        <w:gridCol w:w="1534"/>
      </w:tblGrid>
      <w:tr w:rsidR="00C24FD2" w14:paraId="428E5555" w14:textId="77777777" w:rsidTr="00C24FD2">
        <w:trPr>
          <w:trHeight w:val="97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9562CF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Odjeljak</w:t>
            </w:r>
            <w:proofErr w:type="spellEnd"/>
          </w:p>
        </w:tc>
        <w:tc>
          <w:tcPr>
            <w:tcW w:w="7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FC7C30" w14:textId="77777777" w:rsidR="00C24FD2" w:rsidRDefault="00C24F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3500DF" w14:textId="77777777" w:rsidR="00C24FD2" w:rsidRDefault="00C24F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2023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6F5722" w14:textId="77777777" w:rsidR="00C24FD2" w:rsidRDefault="00C24F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 2024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6E9150" w14:textId="77777777" w:rsidR="00C24FD2" w:rsidRDefault="00C24F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C97B5B" w14:textId="77777777" w:rsidR="00C24FD2" w:rsidRDefault="00C24F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2026</w:t>
            </w:r>
          </w:p>
        </w:tc>
      </w:tr>
      <w:tr w:rsidR="00C24FD2" w14:paraId="5B7907EC" w14:textId="77777777" w:rsidTr="00C24FD2">
        <w:trPr>
          <w:trHeight w:val="3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96C80B5" w14:textId="77777777" w:rsidR="00C24FD2" w:rsidRDefault="00C24F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2929000" w14:textId="77777777" w:rsidR="00C24FD2" w:rsidRDefault="00C24F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BAB0739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10.135.994,79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B40EA86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11.842.745,29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4721F34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14.692.300,00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923BF92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14.530.300,00</w:t>
            </w:r>
          </w:p>
        </w:tc>
      </w:tr>
      <w:tr w:rsidR="00C24FD2" w14:paraId="4BA72565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1D84D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3ED93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DCD96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4BB46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7.410.300,00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146B9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7.793.300,00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2D5F6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7.793.300,00</w:t>
            </w:r>
          </w:p>
        </w:tc>
      </w:tr>
      <w:tr w:rsidR="00C24FD2" w14:paraId="79308DB2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52643D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DC5C1E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subjekata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6AA36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CC61E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1.693.800,00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9380D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4.085.300,00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82BAF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4.085.300,00</w:t>
            </w:r>
          </w:p>
        </w:tc>
      </w:tr>
      <w:tr w:rsidR="00C24FD2" w14:paraId="4345D39E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B8DD8C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835AE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D00450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2626D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6E90E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7A8DC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385.000,00</w:t>
            </w:r>
          </w:p>
        </w:tc>
      </w:tr>
      <w:tr w:rsidR="00C24FD2" w14:paraId="7E58D3B4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D42A1D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7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6092F2" w14:textId="77777777" w:rsidR="00C24FD2" w:rsidRP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administrativnih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posebnim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propisima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naknada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F223C8" w14:textId="77777777" w:rsidR="00C24FD2" w:rsidRP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38FA3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2.120.000,00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A5434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2.200.000,00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D2FA0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2.038.000,00</w:t>
            </w:r>
          </w:p>
        </w:tc>
      </w:tr>
      <w:tr w:rsidR="00C24FD2" w14:paraId="1EAB0257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BEA4A4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BEF1FC" w14:textId="77777777" w:rsidR="00C24FD2" w:rsidRP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prodaje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proizvoda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robe te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pruženih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usluga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donacija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te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povrati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protestiranim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jamstvima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56122F" w14:textId="77777777" w:rsidR="00C24FD2" w:rsidRP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47368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203.345,29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C50EC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198.700,00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9360B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198.700,00</w:t>
            </w:r>
          </w:p>
        </w:tc>
      </w:tr>
      <w:tr w:rsidR="00C24FD2" w14:paraId="41B5C32F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857BE1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E2A07" w14:textId="77777777" w:rsidR="00C24FD2" w:rsidRP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Kazne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mjere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ostali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CF065E" w14:textId="77777777" w:rsidR="00C24FD2" w:rsidRP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403FD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9D175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55975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8D7154" w14:paraId="6FB9F0D7" w14:textId="77777777" w:rsidTr="00726640">
        <w:trPr>
          <w:trHeight w:val="314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50DA834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7FAD3B2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C98106E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8.248.664,78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0BB31B6" w14:textId="00C4D41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8.125.725,29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86F0695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7.703.680,00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65C5873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7.613.380,00</w:t>
            </w:r>
          </w:p>
        </w:tc>
      </w:tr>
      <w:tr w:rsidR="008D7154" w14:paraId="04B030B6" w14:textId="77777777" w:rsidTr="00726640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69BB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3A0E10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3A6192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DC4C6" w14:textId="6DB8F4FD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1.502.345,29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2DC9C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1.502.000,00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6301A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1.502.000,00</w:t>
            </w:r>
          </w:p>
        </w:tc>
      </w:tr>
      <w:tr w:rsidR="008D7154" w14:paraId="05F1BB24" w14:textId="77777777" w:rsidTr="00726640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4972BB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C36E1C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6423E1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14462" w14:textId="466D556D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3.716.330,00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92EAF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3.590.630,00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0A334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3.500.330,00</w:t>
            </w:r>
          </w:p>
        </w:tc>
      </w:tr>
      <w:tr w:rsidR="008D7154" w14:paraId="3E731332" w14:textId="77777777" w:rsidTr="00726640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A4FEDD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D23342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5560D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2F9DA" w14:textId="3816ACB0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804D3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DEA51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22.300,00</w:t>
            </w:r>
          </w:p>
        </w:tc>
      </w:tr>
      <w:tr w:rsidR="008D7154" w14:paraId="7A6EC787" w14:textId="77777777" w:rsidTr="00726640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B442F9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A342F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30ADDD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AD95E" w14:textId="65366A23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1.359.000,00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1BC13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1.340.000,00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8DEF8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1.340.000,00</w:t>
            </w:r>
          </w:p>
        </w:tc>
      </w:tr>
      <w:tr w:rsidR="008D7154" w14:paraId="638AF28B" w14:textId="77777777" w:rsidTr="00726640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9746B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23CF6A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D8E53C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EEC76" w14:textId="5BE3B860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42.450,00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25783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42.450,00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424F7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42.450,00</w:t>
            </w:r>
          </w:p>
        </w:tc>
      </w:tr>
      <w:tr w:rsidR="008D7154" w14:paraId="5FADD488" w14:textId="77777777" w:rsidTr="00726640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879E07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C66316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temelju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osiguranja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D41616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034B1" w14:textId="0D58EDFB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467.000,00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236F3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437.000,00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30182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437.000,00</w:t>
            </w:r>
          </w:p>
        </w:tc>
      </w:tr>
      <w:tr w:rsidR="008D7154" w14:paraId="6ED3803E" w14:textId="77777777" w:rsidTr="00726640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BF4C5C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12EEE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D21B34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A8350" w14:textId="6A6B7ACE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1.016.300,00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C83B4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769.300,00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5831B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769.300,00</w:t>
            </w:r>
          </w:p>
        </w:tc>
      </w:tr>
      <w:tr w:rsidR="008D7154" w14:paraId="417D9325" w14:textId="77777777" w:rsidTr="00726640">
        <w:trPr>
          <w:trHeight w:val="314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2EBB7C5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7F5D41C" w14:textId="77777777" w:rsidR="008D7154" w:rsidRPr="00C24FD2" w:rsidRDefault="008D7154" w:rsidP="008D7154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C24FD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Rashodi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nabavu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nefinancijske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CD72451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4.088.153,61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49911B7" w14:textId="66994BD3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6.125.000,00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F496E99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7.596.000,00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F24CA9B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7.246.000,00</w:t>
            </w:r>
          </w:p>
        </w:tc>
      </w:tr>
      <w:tr w:rsidR="008D7154" w14:paraId="0BD8D247" w14:textId="77777777" w:rsidTr="00726640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82CF95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23222" w14:textId="77777777" w:rsidR="008D7154" w:rsidRPr="00C24FD2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neproizvedene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A4C99" w14:textId="77777777" w:rsidR="008D7154" w:rsidRPr="00C24FD2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C94202" w14:textId="486CB96C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1.734.000,00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F5F197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1.700.000,00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41DD70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1.700.000,00</w:t>
            </w:r>
          </w:p>
        </w:tc>
      </w:tr>
      <w:tr w:rsidR="008D7154" w14:paraId="5993D599" w14:textId="77777777" w:rsidTr="00726640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7B74D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0FBFB7" w14:textId="77777777" w:rsidR="008D7154" w:rsidRPr="00C24FD2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proizvedene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AB8E8" w14:textId="77777777" w:rsidR="008D7154" w:rsidRPr="00C24FD2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D465A3" w14:textId="6C93B431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2.294.000,00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4BF163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4.497.000,00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782E44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4.147.000,00</w:t>
            </w:r>
          </w:p>
        </w:tc>
      </w:tr>
      <w:tr w:rsidR="008D7154" w14:paraId="382EAD5A" w14:textId="77777777" w:rsidTr="00726640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621D5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C944A" w14:textId="77777777" w:rsidR="008D7154" w:rsidRDefault="008D7154" w:rsidP="008D71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19F4B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D8D3DD" w14:textId="0E57845F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2.097.000,00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44BA65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1.399.000,00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AFB139" w14:textId="77777777" w:rsidR="008D7154" w:rsidRDefault="008D7154" w:rsidP="008D715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1.399.000,00</w:t>
            </w:r>
          </w:p>
        </w:tc>
      </w:tr>
    </w:tbl>
    <w:p w14:paraId="7237CC3D" w14:textId="77777777" w:rsidR="00C24FD2" w:rsidRPr="00C24FD2" w:rsidRDefault="00C24FD2" w:rsidP="00C24FD2">
      <w:pPr>
        <w:rPr>
          <w:rFonts w:ascii="Calibri" w:hAnsi="Calibri" w:cs="Calibri"/>
          <w:lang w:val="hr-HR"/>
        </w:rPr>
      </w:pPr>
    </w:p>
    <w:p w14:paraId="543AEBA6" w14:textId="77777777" w:rsidR="00023C13" w:rsidRDefault="00023C13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6D73EC4B" w14:textId="77777777" w:rsidR="006860D9" w:rsidRDefault="006860D9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AD68951" w14:textId="335EA6C4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3E7AF920" w14:textId="31C48423" w:rsidR="002E629C" w:rsidRDefault="00012594" w:rsidP="002E629C">
      <w:pPr>
        <w:rPr>
          <w:bCs/>
          <w:iCs/>
          <w:lang w:val="hr-HR"/>
        </w:rPr>
      </w:pPr>
      <w:bookmarkStart w:id="2" w:name="_Hlk150865845"/>
      <w:r>
        <w:rPr>
          <w:bCs/>
          <w:iCs/>
          <w:lang w:val="hr-HR"/>
        </w:rPr>
        <w:t>Prihodi</w:t>
      </w:r>
      <w:r w:rsidR="002E629C" w:rsidRPr="00E42377">
        <w:rPr>
          <w:bCs/>
          <w:iCs/>
          <w:lang w:val="hr-HR"/>
        </w:rPr>
        <w:t xml:space="preserve"> </w:t>
      </w:r>
      <w:r w:rsidR="00CD55B3">
        <w:rPr>
          <w:bCs/>
          <w:iCs/>
          <w:lang w:val="hr-HR"/>
        </w:rPr>
        <w:t xml:space="preserve">i rashodi </w:t>
      </w:r>
      <w:r w:rsidR="002E629C" w:rsidRPr="00E42377">
        <w:rPr>
          <w:bCs/>
          <w:iCs/>
          <w:lang w:val="hr-HR"/>
        </w:rPr>
        <w:t xml:space="preserve">iskazani sumarno prema izvorima financiranja i </w:t>
      </w:r>
      <w:r>
        <w:rPr>
          <w:bCs/>
          <w:iCs/>
          <w:lang w:val="hr-HR"/>
        </w:rPr>
        <w:t xml:space="preserve">rashodi iskazani prema </w:t>
      </w:r>
      <w:r w:rsidR="002E629C" w:rsidRPr="00E42377">
        <w:rPr>
          <w:bCs/>
          <w:iCs/>
          <w:lang w:val="hr-HR"/>
        </w:rPr>
        <w:t>funkcijskoj klasifikaciji:</w:t>
      </w:r>
    </w:p>
    <w:bookmarkEnd w:id="2"/>
    <w:p w14:paraId="0EB40F4E" w14:textId="77777777" w:rsidR="002E629C" w:rsidRDefault="002E629C" w:rsidP="002E629C">
      <w:pPr>
        <w:rPr>
          <w:bCs/>
          <w:iCs/>
          <w:lang w:val="hr-HR"/>
        </w:rPr>
      </w:pPr>
    </w:p>
    <w:tbl>
      <w:tblPr>
        <w:tblW w:w="14300" w:type="dxa"/>
        <w:tblLook w:val="04A0" w:firstRow="1" w:lastRow="0" w:firstColumn="1" w:lastColumn="0" w:noHBand="0" w:noVBand="1"/>
      </w:tblPr>
      <w:tblGrid>
        <w:gridCol w:w="955"/>
        <w:gridCol w:w="7125"/>
        <w:gridCol w:w="1985"/>
        <w:gridCol w:w="343"/>
        <w:gridCol w:w="1783"/>
        <w:gridCol w:w="193"/>
        <w:gridCol w:w="1916"/>
      </w:tblGrid>
      <w:tr w:rsidR="00705A0B" w14:paraId="720AF93D" w14:textId="77777777" w:rsidTr="00705A0B">
        <w:trPr>
          <w:trHeight w:val="270"/>
        </w:trPr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E4046" w14:textId="77777777" w:rsidR="00705A0B" w:rsidRDefault="00705A0B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5357F">
              <w:rPr>
                <w:rFonts w:ascii="Calibri" w:hAnsi="Calibri" w:cs="Calibri"/>
                <w:sz w:val="20"/>
                <w:szCs w:val="20"/>
                <w:lang w:val="hr-HR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47BB1" w14:textId="77777777" w:rsidR="00705A0B" w:rsidRDefault="00705A0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A3355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2024.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0B48" w14:textId="77777777" w:rsidR="00705A0B" w:rsidRPr="00705A0B" w:rsidRDefault="00705A0B">
            <w:pPr>
              <w:rPr>
                <w:rFonts w:ascii="Calibri" w:hAnsi="Calibri" w:cs="Calibri"/>
                <w:b/>
                <w:bCs/>
              </w:rPr>
            </w:pPr>
            <w:r w:rsidRPr="00705A0B">
              <w:rPr>
                <w:rFonts w:ascii="Calibri" w:hAnsi="Calibri" w:cs="Calibri"/>
                <w:b/>
                <w:bCs/>
              </w:rPr>
              <w:t>PROJEKCIJA 2025.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D55" w14:textId="77777777" w:rsidR="00705A0B" w:rsidRPr="00705A0B" w:rsidRDefault="00705A0B">
            <w:pPr>
              <w:rPr>
                <w:rFonts w:ascii="Calibri" w:hAnsi="Calibri" w:cs="Calibri"/>
                <w:b/>
                <w:bCs/>
              </w:rPr>
            </w:pPr>
            <w:r w:rsidRPr="00705A0B">
              <w:rPr>
                <w:rFonts w:ascii="Calibri" w:hAnsi="Calibri" w:cs="Calibri"/>
                <w:b/>
                <w:bCs/>
              </w:rPr>
              <w:t>PROJEKCIJA 2026.</w:t>
            </w:r>
          </w:p>
        </w:tc>
      </w:tr>
      <w:tr w:rsidR="00705A0B" w14:paraId="6738717C" w14:textId="77777777" w:rsidTr="00705A0B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7E51" w14:textId="77777777" w:rsidR="00705A0B" w:rsidRDefault="00705A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A54C" w14:textId="77777777" w:rsidR="00705A0B" w:rsidRDefault="00705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0D1A" w14:textId="77777777" w:rsidR="00705A0B" w:rsidRDefault="00705A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9CFF" w14:textId="77777777" w:rsidR="00705A0B" w:rsidRDefault="00705A0B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DAE6" w14:textId="77777777" w:rsidR="00705A0B" w:rsidRDefault="00705A0B">
            <w:pPr>
              <w:rPr>
                <w:sz w:val="20"/>
                <w:szCs w:val="20"/>
              </w:rPr>
            </w:pPr>
          </w:p>
        </w:tc>
      </w:tr>
      <w:tr w:rsidR="00705A0B" w14:paraId="08D1E858" w14:textId="77777777" w:rsidTr="0065357F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7B668A45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27D36C4F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primici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74EED442" w14:textId="04B48032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  <w:r w:rsidR="00007BB8">
              <w:rPr>
                <w:rFonts w:ascii="Calibri" w:hAnsi="Calibri" w:cs="Calibri"/>
                <w:b/>
                <w:bCs/>
              </w:rPr>
              <w:t>712</w:t>
            </w:r>
            <w:r>
              <w:rPr>
                <w:rFonts w:ascii="Calibri" w:hAnsi="Calibri" w:cs="Calibri"/>
                <w:b/>
                <w:bCs/>
              </w:rPr>
              <w:t>.100,00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951E5B6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9.036.600,00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25E622CD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9.036.600,00</w:t>
            </w:r>
          </w:p>
        </w:tc>
      </w:tr>
      <w:tr w:rsidR="00705A0B" w14:paraId="229853E0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3196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3B7B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Opći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primici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8BE6A" w14:textId="5DCFB6F4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  <w:r w:rsidR="00007BB8">
              <w:rPr>
                <w:rFonts w:ascii="Calibri" w:hAnsi="Calibri" w:cs="Calibri"/>
              </w:rPr>
              <w:t>456</w:t>
            </w:r>
            <w:r>
              <w:rPr>
                <w:rFonts w:ascii="Calibri" w:hAnsi="Calibri" w:cs="Calibri"/>
              </w:rPr>
              <w:t>.800,00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DD575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8.781.300,00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2A107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8.781.300,00</w:t>
            </w:r>
          </w:p>
        </w:tc>
      </w:tr>
      <w:tr w:rsidR="00705A0B" w14:paraId="1196FCD9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730B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4F73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decentralizirane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funkcije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CE28A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255.300,00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BBA53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255.300,00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D519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255.300,00</w:t>
            </w:r>
          </w:p>
        </w:tc>
      </w:tr>
      <w:tr w:rsidR="00705A0B" w14:paraId="24ACE035" w14:textId="77777777" w:rsidTr="0065357F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686EBF5C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7BB024E7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2F84B51E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141.000,00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11251BD7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140.700,00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57A9B5B6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140.700,00</w:t>
            </w:r>
          </w:p>
        </w:tc>
      </w:tr>
      <w:tr w:rsidR="00705A0B" w14:paraId="03F58EA1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29F9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EB55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0E65B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114.300,00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2006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386C3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114.000,00</w:t>
            </w:r>
          </w:p>
        </w:tc>
      </w:tr>
      <w:tr w:rsidR="00705A0B" w14:paraId="56ED2243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7B45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FC87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- JVP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AA7A0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D8423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2F27B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</w:tr>
      <w:tr w:rsidR="00705A0B" w14:paraId="1516B58F" w14:textId="77777777" w:rsidTr="0065357F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62484C6A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0AA863D0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posebne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namjene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7909EC37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1.815.000,00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CB7E907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2.015.000,00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6736C84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1.853.000,00</w:t>
            </w:r>
          </w:p>
        </w:tc>
      </w:tr>
      <w:tr w:rsidR="00705A0B" w14:paraId="1F338E21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EBDE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70F9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2EBAF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84947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1.000.000,00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0052F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1.000.000,00</w:t>
            </w:r>
          </w:p>
        </w:tc>
      </w:tr>
      <w:tr w:rsidR="00705A0B" w14:paraId="6A355A14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485B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7FA9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23D80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E3FCD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26F52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800.000,00</w:t>
            </w:r>
          </w:p>
        </w:tc>
      </w:tr>
      <w:tr w:rsidR="00705A0B" w14:paraId="3B31731F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A170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F5F1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Vodni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5F77E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4678D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570B4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705A0B" w14:paraId="081B0835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BE8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36B4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legalizaciju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4884E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E0E46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66986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705A0B" w14:paraId="7D2FA8E8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9A85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9BCF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Boravišna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pristojba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03695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AB88F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73C44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18.000,00</w:t>
            </w:r>
          </w:p>
        </w:tc>
      </w:tr>
      <w:tr w:rsidR="00705A0B" w14:paraId="384AA520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D2EE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B7AB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prenamjenu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poljoprivrednog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zemljišta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218B4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A7559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4CDDE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20.000,00</w:t>
            </w:r>
          </w:p>
        </w:tc>
      </w:tr>
      <w:tr w:rsidR="00705A0B" w14:paraId="736FD358" w14:textId="77777777" w:rsidTr="0065357F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22AD908C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778F0F1E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Pomoći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4643DDF2" w14:textId="74525BFC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  <w:r w:rsidR="00007BB8">
              <w:rPr>
                <w:rFonts w:ascii="Calibri" w:hAnsi="Calibri" w:cs="Calibri"/>
                <w:b/>
                <w:bCs/>
              </w:rPr>
              <w:t>170</w:t>
            </w:r>
            <w:r>
              <w:rPr>
                <w:rFonts w:ascii="Calibri" w:hAnsi="Calibri" w:cs="Calibri"/>
                <w:b/>
                <w:bCs/>
              </w:rPr>
              <w:t>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34A6640F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3.500.000,00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6E595070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3.500.000,00</w:t>
            </w:r>
          </w:p>
        </w:tc>
      </w:tr>
      <w:tr w:rsidR="00705A0B" w14:paraId="6B74055B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BE26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6FEC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iz</w:t>
            </w:r>
            <w:proofErr w:type="spellEnd"/>
            <w:r>
              <w:rPr>
                <w:rFonts w:ascii="Calibri" w:hAnsi="Calibri" w:cs="Calibri"/>
              </w:rPr>
              <w:t xml:space="preserve"> EU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4B2CF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C95A0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50094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705A0B" w14:paraId="7B6E31BF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5ADC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8BDB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od </w:t>
            </w:r>
            <w:proofErr w:type="spellStart"/>
            <w:r>
              <w:rPr>
                <w:rFonts w:ascii="Calibri" w:hAnsi="Calibri" w:cs="Calibri"/>
              </w:rPr>
              <w:t>drugih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proračuna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2138C" w14:textId="30D7E26E" w:rsidR="00705A0B" w:rsidRDefault="00007BB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912</w:t>
            </w:r>
            <w:r w:rsidR="00705A0B">
              <w:rPr>
                <w:rFonts w:ascii="Calibri" w:hAnsi="Calibri" w:cs="Calibri"/>
              </w:rPr>
              <w:t>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4A42D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3.500.000,00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AFC4F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3.500.000,00</w:t>
            </w:r>
          </w:p>
        </w:tc>
      </w:tr>
      <w:tr w:rsidR="00705A0B" w14:paraId="649B7DFF" w14:textId="77777777" w:rsidTr="0065357F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4D775E6D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776E671E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Donacije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6176DCD6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4.645,29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2802F029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13C41663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0,00</w:t>
            </w:r>
          </w:p>
        </w:tc>
      </w:tr>
      <w:tr w:rsidR="00705A0B" w14:paraId="328D7ED2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9C05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3360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Donacije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AAF43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4.645,29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5875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86668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</w:tbl>
    <w:p w14:paraId="11C0FDC3" w14:textId="77777777" w:rsidR="00705A0B" w:rsidRDefault="00705A0B" w:rsidP="002E629C">
      <w:pPr>
        <w:rPr>
          <w:bCs/>
          <w:iCs/>
          <w:lang w:val="hr-HR"/>
        </w:rPr>
      </w:pPr>
    </w:p>
    <w:p w14:paraId="62B0BED1" w14:textId="77777777" w:rsidR="00705A0B" w:rsidRDefault="00705A0B" w:rsidP="002E629C">
      <w:pPr>
        <w:rPr>
          <w:bCs/>
          <w:iCs/>
          <w:lang w:val="hr-HR"/>
        </w:rPr>
      </w:pPr>
    </w:p>
    <w:p w14:paraId="476312AE" w14:textId="77777777" w:rsidR="00705A0B" w:rsidRDefault="00705A0B" w:rsidP="002E629C">
      <w:pPr>
        <w:rPr>
          <w:bCs/>
          <w:iCs/>
          <w:lang w:val="hr-HR"/>
        </w:rPr>
      </w:pPr>
    </w:p>
    <w:p w14:paraId="61374B71" w14:textId="77777777" w:rsidR="00705A0B" w:rsidRDefault="00705A0B" w:rsidP="002E629C">
      <w:pPr>
        <w:rPr>
          <w:bCs/>
          <w:iCs/>
          <w:lang w:val="hr-HR"/>
        </w:rPr>
      </w:pPr>
    </w:p>
    <w:p w14:paraId="7CCFC39E" w14:textId="77777777" w:rsidR="00705A0B" w:rsidRDefault="00705A0B" w:rsidP="002E629C">
      <w:pPr>
        <w:rPr>
          <w:bCs/>
          <w:iCs/>
          <w:lang w:val="hr-HR"/>
        </w:rPr>
      </w:pPr>
    </w:p>
    <w:p w14:paraId="46E2E936" w14:textId="77777777" w:rsidR="00705A0B" w:rsidRDefault="00705A0B" w:rsidP="002E629C">
      <w:pPr>
        <w:rPr>
          <w:bCs/>
          <w:iCs/>
          <w:lang w:val="hr-HR"/>
        </w:rPr>
      </w:pPr>
    </w:p>
    <w:p w14:paraId="1306F42B" w14:textId="77777777" w:rsidR="00705A0B" w:rsidRDefault="00705A0B" w:rsidP="002E629C">
      <w:pPr>
        <w:rPr>
          <w:bCs/>
          <w:iCs/>
          <w:lang w:val="hr-HR"/>
        </w:rPr>
      </w:pPr>
    </w:p>
    <w:p w14:paraId="6AE54A2B" w14:textId="77777777" w:rsidR="00705A0B" w:rsidRDefault="00705A0B" w:rsidP="002E629C">
      <w:pPr>
        <w:rPr>
          <w:bCs/>
          <w:iCs/>
          <w:lang w:val="hr-HR"/>
        </w:rPr>
      </w:pPr>
    </w:p>
    <w:p w14:paraId="3E724592" w14:textId="48270DC1" w:rsidR="00705A0B" w:rsidRDefault="00705A0B" w:rsidP="002E629C">
      <w:pPr>
        <w:rPr>
          <w:bCs/>
          <w:iCs/>
          <w:lang w:val="hr-HR"/>
        </w:rPr>
      </w:pPr>
    </w:p>
    <w:p w14:paraId="2A337616" w14:textId="77777777" w:rsidR="00E44551" w:rsidRDefault="00E44551" w:rsidP="002E629C">
      <w:pPr>
        <w:rPr>
          <w:bCs/>
          <w:iCs/>
          <w:lang w:val="hr-HR"/>
        </w:rPr>
      </w:pPr>
    </w:p>
    <w:p w14:paraId="1D477BE2" w14:textId="77777777" w:rsidR="00BF7E7D" w:rsidRDefault="00BF7E7D" w:rsidP="002E629C">
      <w:pPr>
        <w:rPr>
          <w:bCs/>
          <w:iCs/>
          <w:lang w:val="hr-HR"/>
        </w:rPr>
      </w:pPr>
    </w:p>
    <w:p w14:paraId="527D573B" w14:textId="77777777" w:rsidR="00705A0B" w:rsidRDefault="00705A0B" w:rsidP="002E629C">
      <w:pPr>
        <w:rPr>
          <w:bCs/>
          <w:iCs/>
          <w:lang w:val="hr-HR"/>
        </w:r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954"/>
        <w:gridCol w:w="7268"/>
        <w:gridCol w:w="1984"/>
        <w:gridCol w:w="2127"/>
        <w:gridCol w:w="2027"/>
      </w:tblGrid>
      <w:tr w:rsidR="00705A0B" w14:paraId="12C2468C" w14:textId="77777777" w:rsidTr="00705A0B">
        <w:trPr>
          <w:trHeight w:val="270"/>
        </w:trPr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36AE0" w14:textId="77777777" w:rsidR="00705A0B" w:rsidRDefault="00705A0B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7F070" w14:textId="77777777" w:rsidR="00705A0B" w:rsidRDefault="00705A0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FC318" w14:textId="77777777" w:rsidR="00705A0B" w:rsidRDefault="00705A0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RASHODI 2024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315A" w14:textId="77777777" w:rsidR="00705A0B" w:rsidRPr="00705A0B" w:rsidRDefault="00705A0B">
            <w:pPr>
              <w:rPr>
                <w:rFonts w:ascii="Calibri" w:hAnsi="Calibri" w:cs="Calibri"/>
                <w:b/>
                <w:bCs/>
              </w:rPr>
            </w:pPr>
            <w:r w:rsidRPr="00705A0B">
              <w:rPr>
                <w:rFonts w:ascii="Calibri" w:hAnsi="Calibri" w:cs="Calibri"/>
                <w:b/>
                <w:bCs/>
              </w:rPr>
              <w:t>PROJEKCIJA 2025.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4E65" w14:textId="77777777" w:rsidR="00705A0B" w:rsidRPr="00705A0B" w:rsidRDefault="00705A0B">
            <w:pPr>
              <w:rPr>
                <w:rFonts w:ascii="Calibri" w:hAnsi="Calibri" w:cs="Calibri"/>
                <w:b/>
                <w:bCs/>
              </w:rPr>
            </w:pPr>
            <w:r w:rsidRPr="00705A0B">
              <w:rPr>
                <w:rFonts w:ascii="Calibri" w:hAnsi="Calibri" w:cs="Calibri"/>
                <w:b/>
                <w:bCs/>
              </w:rPr>
              <w:t>PROJEKCIJA 2026.</w:t>
            </w:r>
          </w:p>
        </w:tc>
      </w:tr>
      <w:tr w:rsidR="00705A0B" w14:paraId="378B7ED1" w14:textId="77777777" w:rsidTr="00705A0B">
        <w:trPr>
          <w:trHeight w:val="25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11C5" w14:textId="77777777" w:rsidR="00705A0B" w:rsidRDefault="00705A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9326" w14:textId="77777777" w:rsidR="00705A0B" w:rsidRDefault="00705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F7D0" w14:textId="77777777" w:rsidR="00705A0B" w:rsidRDefault="00705A0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CCB0" w14:textId="77777777" w:rsidR="00705A0B" w:rsidRDefault="00705A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6BE1" w14:textId="77777777" w:rsidR="00705A0B" w:rsidRDefault="00705A0B">
            <w:pPr>
              <w:rPr>
                <w:sz w:val="20"/>
                <w:szCs w:val="20"/>
              </w:rPr>
            </w:pPr>
          </w:p>
        </w:tc>
      </w:tr>
      <w:tr w:rsidR="0065357F" w14:paraId="2D803440" w14:textId="77777777" w:rsidTr="0065357F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7D8CD6DD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1F1BCC4E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primici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8799518" w14:textId="448839E0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</w:t>
            </w:r>
            <w:r w:rsidR="00B45A7E">
              <w:rPr>
                <w:rFonts w:ascii="Calibri" w:hAnsi="Calibri" w:cs="Calibri"/>
                <w:b/>
                <w:bCs/>
              </w:rPr>
              <w:t>1</w:t>
            </w:r>
            <w:r w:rsidR="00B51498">
              <w:rPr>
                <w:rFonts w:ascii="Calibri" w:hAnsi="Calibri" w:cs="Calibri"/>
                <w:b/>
                <w:bCs/>
              </w:rPr>
              <w:t>3</w:t>
            </w:r>
            <w:r w:rsidR="00B45A7E">
              <w:rPr>
                <w:rFonts w:ascii="Calibri" w:hAnsi="Calibri" w:cs="Calibri"/>
                <w:b/>
                <w:bCs/>
              </w:rPr>
              <w:t>0</w:t>
            </w:r>
            <w:r w:rsidR="00C43448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080,00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3B597B82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10.415.380,00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72E3F022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9.975.080,00</w:t>
            </w:r>
          </w:p>
        </w:tc>
      </w:tr>
      <w:tr w:rsidR="00705A0B" w14:paraId="55627E25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444F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41FE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Opći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primici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AF6C" w14:textId="43FDD0C3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  <w:r w:rsidR="00B45A7E">
              <w:rPr>
                <w:rFonts w:ascii="Calibri" w:hAnsi="Calibri" w:cs="Calibri"/>
              </w:rPr>
              <w:t>8</w:t>
            </w:r>
            <w:r w:rsidR="00B51498">
              <w:rPr>
                <w:rFonts w:ascii="Calibri" w:hAnsi="Calibri" w:cs="Calibri"/>
              </w:rPr>
              <w:t>7</w:t>
            </w:r>
            <w:r w:rsidR="00B45A7E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.780,00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AFB5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10.158.280,00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74B0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9.717.980,00</w:t>
            </w:r>
          </w:p>
        </w:tc>
      </w:tr>
      <w:tr w:rsidR="00705A0B" w14:paraId="24B6B013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352C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A9C1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decentralizirane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funkcije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49F8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255.300,00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AED8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257.100,00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8922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257.100,00</w:t>
            </w:r>
          </w:p>
        </w:tc>
      </w:tr>
      <w:tr w:rsidR="0065357F" w14:paraId="42446D5C" w14:textId="77777777" w:rsidTr="0065357F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0F8D90C3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44F743BC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5CEE544B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141.000,00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3E24A8A6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46.300,00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1F66B542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46.300,00</w:t>
            </w:r>
          </w:p>
        </w:tc>
      </w:tr>
      <w:tr w:rsidR="00705A0B" w14:paraId="34451669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27BB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0B72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FE6F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114.300,00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E95A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19.300,00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F371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19.300,00</w:t>
            </w:r>
          </w:p>
        </w:tc>
      </w:tr>
      <w:tr w:rsidR="00705A0B" w14:paraId="28FC22F3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843F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5761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- JVP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ECB2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34F1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D7F1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27.000,00</w:t>
            </w:r>
          </w:p>
        </w:tc>
      </w:tr>
      <w:tr w:rsidR="0065357F" w14:paraId="6F1F0071" w14:textId="77777777" w:rsidTr="0065357F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6BD59B6B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7CB83B39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posebne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namjene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42C4F484" w14:textId="1D6BDE9B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</w:t>
            </w:r>
            <w:r w:rsidR="00B51498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5.000,00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18E53AB5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1.538.000,00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2D09E18F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1.538.000,00</w:t>
            </w:r>
          </w:p>
        </w:tc>
      </w:tr>
      <w:tr w:rsidR="00705A0B" w14:paraId="4BFD1703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D28F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73D2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F7C8" w14:textId="0ACE43E1" w:rsidR="00705A0B" w:rsidRDefault="00B514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  <w:r w:rsidR="00705A0B">
              <w:rPr>
                <w:rFonts w:ascii="Calibri" w:hAnsi="Calibri" w:cs="Calibri"/>
              </w:rPr>
              <w:t>0.000,00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B236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678.000,00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9371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678.000,00</w:t>
            </w:r>
          </w:p>
        </w:tc>
      </w:tr>
      <w:tr w:rsidR="00705A0B" w14:paraId="4100CDB2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BA70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2731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47BD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D555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655.000,00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F626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655.000,00</w:t>
            </w:r>
          </w:p>
        </w:tc>
      </w:tr>
      <w:tr w:rsidR="00705A0B" w14:paraId="4C3CEFBF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00DA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8734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Vodni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D831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A4C4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F2A7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705A0B" w14:paraId="431F7BC8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4E9F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1A9A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legalizaciju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74EA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0F38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CBDB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705A0B" w14:paraId="5A23700A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7EB9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5B99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Boravišna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pristojba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AEA3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6395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FFBA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170.000,00</w:t>
            </w:r>
          </w:p>
        </w:tc>
      </w:tr>
      <w:tr w:rsidR="00705A0B" w14:paraId="5A2606F7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17EF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FFAC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prenamjenu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poljoprivrednog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zemljišta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26C7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6A19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17B3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20.000,00</w:t>
            </w:r>
          </w:p>
        </w:tc>
      </w:tr>
      <w:tr w:rsidR="0065357F" w14:paraId="1C977B5A" w14:textId="77777777" w:rsidTr="0065357F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7FE622DE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3AD4A97E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Pomoći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B771095" w14:textId="71A9A75F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  <w:r w:rsidR="00B51498">
              <w:rPr>
                <w:rFonts w:ascii="Calibri" w:hAnsi="Calibri" w:cs="Calibri"/>
                <w:b/>
                <w:bCs/>
              </w:rPr>
              <w:t>170</w:t>
            </w:r>
            <w:r>
              <w:rPr>
                <w:rFonts w:ascii="Calibri" w:hAnsi="Calibri" w:cs="Calibri"/>
                <w:b/>
                <w:bCs/>
              </w:rPr>
              <w:t>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71C3D461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3.300.000,00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0B78C8C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3.300.000,00</w:t>
            </w:r>
          </w:p>
        </w:tc>
      </w:tr>
      <w:tr w:rsidR="00705A0B" w14:paraId="13E0E733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F0C7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F9C4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iz</w:t>
            </w:r>
            <w:proofErr w:type="spellEnd"/>
            <w:r>
              <w:rPr>
                <w:rFonts w:ascii="Calibri" w:hAnsi="Calibri" w:cs="Calibri"/>
              </w:rPr>
              <w:t xml:space="preserve"> EU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B2FD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6521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9F4B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705A0B" w14:paraId="34E0D930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5908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6903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od </w:t>
            </w:r>
            <w:proofErr w:type="spellStart"/>
            <w:r>
              <w:rPr>
                <w:rFonts w:ascii="Calibri" w:hAnsi="Calibri" w:cs="Calibri"/>
              </w:rPr>
              <w:t>drugih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proračuna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8183" w14:textId="7DAA77DF" w:rsidR="00705A0B" w:rsidRDefault="00B45A7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912</w:t>
            </w:r>
            <w:r w:rsidR="00705A0B">
              <w:rPr>
                <w:rFonts w:ascii="Calibri" w:hAnsi="Calibri" w:cs="Calibri"/>
              </w:rPr>
              <w:t>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6E4F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3.300.000,00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9FF2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3.300.000,00</w:t>
            </w:r>
          </w:p>
        </w:tc>
      </w:tr>
      <w:tr w:rsidR="0065357F" w14:paraId="0D7AFB7F" w14:textId="77777777" w:rsidTr="0065357F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30F8CAD9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538ABA73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Donacije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C1FC2E5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4.645,29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39847AFF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2A6F5E22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0,00</w:t>
            </w:r>
          </w:p>
        </w:tc>
      </w:tr>
      <w:tr w:rsidR="00705A0B" w14:paraId="79E9B9F2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F301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4C39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Donacije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FEE7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4.645,29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8F60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3D33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</w:tbl>
    <w:p w14:paraId="3DC29E82" w14:textId="77777777" w:rsidR="002E629C" w:rsidRDefault="002E629C" w:rsidP="002E629C">
      <w:pPr>
        <w:rPr>
          <w:bCs/>
          <w:iCs/>
          <w:lang w:val="hr-HR"/>
        </w:rPr>
      </w:pPr>
    </w:p>
    <w:tbl>
      <w:tblPr>
        <w:tblW w:w="14734" w:type="dxa"/>
        <w:tblLook w:val="04A0" w:firstRow="1" w:lastRow="0" w:firstColumn="1" w:lastColumn="0" w:noHBand="0" w:noVBand="1"/>
      </w:tblPr>
      <w:tblGrid>
        <w:gridCol w:w="806"/>
        <w:gridCol w:w="701"/>
        <w:gridCol w:w="5946"/>
        <w:gridCol w:w="3161"/>
        <w:gridCol w:w="1856"/>
        <w:gridCol w:w="2264"/>
      </w:tblGrid>
      <w:tr w:rsidR="00E44551" w:rsidRPr="00955586" w14:paraId="702EA527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3D0F819" w14:textId="7852096D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2CA797A" w14:textId="58455EC8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redovne djelatnosti UO Načelnika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4219B1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847512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3019E9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E44551" w:rsidRPr="00955586" w14:paraId="78CE15D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82CB3F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BC0707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667AE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0574E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63CC4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A0259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E44551" w:rsidRPr="00955586" w14:paraId="286A995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90E8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E619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40D2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E216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38E1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A19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41.000,00</w:t>
            </w:r>
          </w:p>
        </w:tc>
      </w:tr>
      <w:tr w:rsidR="00E44551" w:rsidRPr="00955586" w14:paraId="334BF54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8826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EA7CB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7E772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AB9F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17.650,00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DE5C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17.650,00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5702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17.650,00</w:t>
            </w:r>
          </w:p>
        </w:tc>
      </w:tr>
      <w:tr w:rsidR="00E44551" w:rsidRPr="00955586" w14:paraId="5DED9B0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DD40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CCB18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1F6D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AEF9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71A5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9B62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E44551" w:rsidRPr="00955586" w14:paraId="519B5E95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F6169D5" w14:textId="0E90E6E2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725FEBF" w14:textId="7E409494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rada Općinskog vijeća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FAD00C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B02D02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5F7E1B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E44551" w:rsidRPr="00955586" w14:paraId="0AD460C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8854F1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2F811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77F32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9493F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FD376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427D7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E44551" w:rsidRPr="00955586" w14:paraId="114A1FD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07EC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BF6F4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A8A2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8F8F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4F7B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F562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E44551" w:rsidRPr="00955586" w14:paraId="05720F11" w14:textId="77777777" w:rsidTr="00E44551">
        <w:trPr>
          <w:trHeight w:val="321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3B46221" w14:textId="679C48A5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A2582D4" w14:textId="67F61BFB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političkih stranaka zastupljenih u Općinskom vijeću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AFD180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A8F173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E7A509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</w:tr>
      <w:tr w:rsidR="00E44551" w:rsidRPr="00955586" w14:paraId="3F3B0FF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B8B5BA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205D09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9E1283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21D82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6EB4C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19F0E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</w:tr>
      <w:tr w:rsidR="00E44551" w:rsidRPr="00955586" w14:paraId="0CA6A35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FD52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177B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A579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73B3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8312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1B20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</w:tr>
      <w:tr w:rsidR="00E44551" w:rsidRPr="00955586" w14:paraId="4D20E21D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FD3EA75" w14:textId="7F546FC1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FD685C3" w14:textId="719BC153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Gradovi prijatelji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195A91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58415A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73F295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E44551" w:rsidRPr="00955586" w14:paraId="3201989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8F5CB6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E4745A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50906B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C13B7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13408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9FAEC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E44551" w:rsidRPr="00955586" w14:paraId="37A6FEC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7691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8675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1140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AC7F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590E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407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E44551" w:rsidRPr="00955586" w14:paraId="61233C2E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C89FC0E" w14:textId="655040D0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497690B" w14:textId="52D35596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Mjesni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odborI</w:t>
            </w:r>
            <w:proofErr w:type="spellEnd"/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4FE6608" w14:textId="2A42EB43" w:rsidR="00E44551" w:rsidRPr="00955586" w:rsidRDefault="00EA4205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  <w:r w:rsidR="00E44551"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E9D22D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D4E551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E44551" w:rsidRPr="00955586" w14:paraId="0041E87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C88EF9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21AD43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00D621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FDC996" w14:textId="40B3CB00" w:rsidR="00E44551" w:rsidRPr="00955586" w:rsidRDefault="00EA4205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  <w:r w:rsidR="00E44551"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2B310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04692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E44551" w:rsidRPr="00955586" w14:paraId="0F876B5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ED53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7B372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BF14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9621" w14:textId="53B8BD10" w:rsidR="00E44551" w:rsidRPr="00955586" w:rsidRDefault="00EA4205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  <w:r w:rsidR="00E44551"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2257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4FA6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E44551" w:rsidRPr="00955586" w14:paraId="74E3DE9D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92E5A66" w14:textId="2E356E21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24EDAD0" w14:textId="10873629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redovne djelatnosti upravnog odjela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07C730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1560C1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D1AB6C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</w:tr>
      <w:tr w:rsidR="00E44551" w:rsidRPr="00955586" w14:paraId="5A12E5C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E02ECF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70AC1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87CA7A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DE734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F81F8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DDC67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</w:tr>
      <w:tr w:rsidR="00E44551" w:rsidRPr="00955586" w14:paraId="2FCFC5F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6898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76971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50CF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C114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ED8F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7046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116.200,00</w:t>
            </w:r>
          </w:p>
        </w:tc>
      </w:tr>
      <w:tr w:rsidR="00E44551" w:rsidRPr="00955586" w14:paraId="5FBD8E4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B896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3E081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8A0C2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D2BE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B05D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C657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98.500,00</w:t>
            </w:r>
          </w:p>
        </w:tc>
      </w:tr>
      <w:tr w:rsidR="00E44551" w:rsidRPr="00955586" w14:paraId="3960F8B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8F46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57B8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1791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E5EF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D294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6629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</w:tr>
      <w:tr w:rsidR="00E44551" w:rsidRPr="00955586" w14:paraId="44357FB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392B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AD28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FAB3A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D086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939D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C59F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E44551" w:rsidRPr="00955586" w14:paraId="4E2551A7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370DDCD" w14:textId="5FD2207D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BF9F144" w14:textId="52CEBA69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Nabava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B3300A7" w14:textId="510DBBAA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  <w:r w:rsidR="0095085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ACCF9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A40A2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</w:tr>
      <w:tr w:rsidR="00E44551" w:rsidRPr="00955586" w14:paraId="3A8232C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BA6051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0DC56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5C348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900D73" w14:textId="77777F5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  <w:r w:rsidR="0095085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60C7D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E0A0B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</w:tr>
      <w:tr w:rsidR="00E44551" w:rsidRPr="00955586" w14:paraId="124A660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2828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5B85A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2997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1EEA9" w14:textId="2959A1F6" w:rsidR="00E44551" w:rsidRPr="00955586" w:rsidRDefault="00950856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</w:t>
            </w:r>
            <w:r w:rsidR="00E44551"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D7EE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9E53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E44551" w:rsidRPr="00955586" w14:paraId="2165928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8596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BB0B8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61ED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B799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5B13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C466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65.500,00</w:t>
            </w:r>
          </w:p>
        </w:tc>
      </w:tr>
      <w:tr w:rsidR="00E44551" w:rsidRPr="00955586" w14:paraId="53C4DBF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3B00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47B4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DC89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B04F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9C20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4978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E44551" w:rsidRPr="00955586" w14:paraId="2C60B65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2389EF4" w14:textId="66DDA0AA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136D4E7" w14:textId="1B354D2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Obnova zemljišne knjige Gornja Podstrana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C8740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B16E1F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7E7A2E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</w:tr>
      <w:tr w:rsidR="00E44551" w:rsidRPr="00955586" w14:paraId="0E9D25A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409D60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E216F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979FD9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E6D17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FE977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06D81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</w:tr>
      <w:tr w:rsidR="00E44551" w:rsidRPr="00955586" w14:paraId="77AA3D3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B3B9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9A5E2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DB86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0549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95A1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1807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</w:tr>
      <w:tr w:rsidR="00E44551" w:rsidRPr="00955586" w14:paraId="4AB5F6B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BDEC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DF96B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64D2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2763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CF59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5854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</w:tr>
      <w:tr w:rsidR="00E44551" w:rsidRPr="00955586" w14:paraId="213A6250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1C5A33E" w14:textId="6FA93688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6144B2D" w14:textId="5F698F3E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redovne djelatnosti upravnog odjela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33D998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D37009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21F98E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</w:tr>
      <w:tr w:rsidR="00E44551" w:rsidRPr="00955586" w14:paraId="676FED0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DA62F7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1377A4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E1CD9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9DD18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7BEC2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1F724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</w:tr>
      <w:tr w:rsidR="00E44551" w:rsidRPr="00955586" w14:paraId="42DB968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4FA3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FCD33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FE05D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F2F3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4525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78DE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77.200,00</w:t>
            </w:r>
          </w:p>
        </w:tc>
      </w:tr>
      <w:tr w:rsidR="00E44551" w:rsidRPr="00955586" w14:paraId="48D26B5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AC16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AC97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F988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2E11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1.850,00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2EF3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1.850,00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047E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1.850,00</w:t>
            </w:r>
          </w:p>
        </w:tc>
      </w:tr>
      <w:tr w:rsidR="00E44551" w:rsidRPr="00955586" w14:paraId="7ED3838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B6CB1F6" w14:textId="49A6A08F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3F3FD8A" w14:textId="499DE6A8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Zajednički rashodi tekućeg poslovanja upravnih odjela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D972B3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B61D69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372312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211.700,00</w:t>
            </w:r>
          </w:p>
        </w:tc>
      </w:tr>
      <w:tr w:rsidR="00E44551" w:rsidRPr="00955586" w14:paraId="541BEEF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6A737E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DD7652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1127EB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14CF2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5BF72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24F01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211.700,00</w:t>
            </w:r>
          </w:p>
        </w:tc>
      </w:tr>
      <w:tr w:rsidR="00E44551" w:rsidRPr="00955586" w14:paraId="567EEF2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C15C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C8A8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A191B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7E35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194.500,00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8F8A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194.500,00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861D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194.200,00</w:t>
            </w:r>
          </w:p>
        </w:tc>
      </w:tr>
      <w:tr w:rsidR="00E44551" w:rsidRPr="00955586" w14:paraId="1E12A64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9171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78D1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DA7D8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B890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4281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382E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E44551" w:rsidRPr="00955586" w14:paraId="7A58089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C80AB28" w14:textId="45D199E8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F33096D" w14:textId="186A6C83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redovne djelatnosti upravnog odjela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0A4993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585.300,00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595A93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594.900,00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988A61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594.900,00</w:t>
            </w:r>
          </w:p>
        </w:tc>
      </w:tr>
      <w:tr w:rsidR="00E44551" w:rsidRPr="00955586" w14:paraId="5D408CF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4F1D1E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1CD6A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637479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Prihodi za decentralizirane funkcije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C1EE4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255.300,00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DF226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370ED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257.100,00</w:t>
            </w:r>
          </w:p>
        </w:tc>
      </w:tr>
      <w:tr w:rsidR="00E44551" w:rsidRPr="00955586" w14:paraId="706ABDB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CC0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92DFD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3002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B2D8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E4F7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B3D4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225.100,00</w:t>
            </w:r>
          </w:p>
        </w:tc>
      </w:tr>
      <w:tr w:rsidR="00E44551" w:rsidRPr="00955586" w14:paraId="392D4E0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CBEC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F4258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0D4FB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8E61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11F1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2511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32.000,00</w:t>
            </w:r>
          </w:p>
        </w:tc>
      </w:tr>
      <w:tr w:rsidR="00E44551" w:rsidRPr="00955586" w14:paraId="5184CA2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17FDC6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6F5F7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AEE79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 - JVP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73641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D3614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46DC7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</w:tr>
      <w:tr w:rsidR="00E44551" w:rsidRPr="00955586" w14:paraId="4C49668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B021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3B37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B7C5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6891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5115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6167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</w:tr>
      <w:tr w:rsidR="00E44551" w:rsidRPr="00955586" w14:paraId="2717A1F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EBD2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A796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12C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5200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B970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E78A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E44551" w:rsidRPr="00955586" w14:paraId="1559A46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AC7D61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52E27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C76644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D8849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303.300,00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64825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310.800,00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E9B88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310.800,00</w:t>
            </w:r>
          </w:p>
        </w:tc>
      </w:tr>
      <w:tr w:rsidR="00E44551" w:rsidRPr="00955586" w14:paraId="1A640F3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40F0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2628D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BAC97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7481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604A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D7A9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290.000,00</w:t>
            </w:r>
          </w:p>
        </w:tc>
      </w:tr>
      <w:tr w:rsidR="00E44551" w:rsidRPr="00955586" w14:paraId="1E4D89B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8016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A992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1FA49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376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5F0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49B7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</w:tr>
      <w:tr w:rsidR="00E44551" w:rsidRPr="00955586" w14:paraId="2490A1E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9D93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F3713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0A5CD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C64A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DDAD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06BB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800,00</w:t>
            </w:r>
          </w:p>
        </w:tc>
      </w:tr>
      <w:tr w:rsidR="00E44551" w:rsidRPr="00955586" w14:paraId="51698D9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FAF4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4E009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3828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9501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29E4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F09D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E44551" w:rsidRPr="00955586" w14:paraId="040C6A34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968D54E" w14:textId="449CCF52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5CC052D" w14:textId="150A3B9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redovne djelatnosti upravnog odjela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094F44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D6BB1D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792567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</w:tr>
      <w:tr w:rsidR="00E44551" w:rsidRPr="00955586" w14:paraId="632A899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53053C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FCBF69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481FA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1D664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E8EAE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88CCE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</w:tr>
      <w:tr w:rsidR="00E44551" w:rsidRPr="00955586" w14:paraId="0BB8160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D82D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0ED7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297D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48B6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5715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B19C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107.000,00</w:t>
            </w:r>
          </w:p>
        </w:tc>
      </w:tr>
      <w:tr w:rsidR="00E44551" w:rsidRPr="00955586" w14:paraId="1630B09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0AE6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F8C4B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6022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ACB2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123C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6B6D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37.300,00</w:t>
            </w:r>
          </w:p>
        </w:tc>
      </w:tr>
      <w:tr w:rsidR="00E44551" w:rsidRPr="00955586" w14:paraId="20AC78FC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4F28470" w14:textId="428CDA1E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6CFADC1" w14:textId="4ECA50DC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projekata od interesa za Općinu Podstrana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BF0A1F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982C31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883504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E44551" w:rsidRPr="00955586" w14:paraId="0731E1A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AA1B50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E695A3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079CA7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02D4F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B18C1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58C95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E44551" w:rsidRPr="00955586" w14:paraId="3F82C82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ACC6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0C4F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0217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FB8B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D43A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A3AE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E44551" w:rsidRPr="00955586" w14:paraId="230C74C3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746346D" w14:textId="688D9521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B55F769" w14:textId="2D01F83E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Sufinanciranje dječjih vrtića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E74CCB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1DDF0F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A71992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</w:tr>
      <w:tr w:rsidR="00E44551" w:rsidRPr="00955586" w14:paraId="2016C6C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E8144A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5F1E3E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1815AD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4C8E2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F539D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B7E69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</w:tr>
      <w:tr w:rsidR="00E44551" w:rsidRPr="00955586" w14:paraId="26062B5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4FE3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A2F3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3497E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DC76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98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963C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985.000,00</w:t>
            </w:r>
          </w:p>
        </w:tc>
      </w:tr>
      <w:tr w:rsidR="00E44551" w:rsidRPr="00955586" w14:paraId="0BA768A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9F5E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BD0C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6043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845A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475A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24FA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</w:tr>
      <w:tr w:rsidR="00BD3D6F" w:rsidRPr="00955586" w14:paraId="037B9771" w14:textId="77777777" w:rsidTr="00667C6F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4DFEA4" w14:textId="478C87DC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2EB31F" w14:textId="111ED852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9A620F" w14:textId="232A171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B0C354" w14:textId="183A474A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4213E1" w14:textId="67F7BB68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017893" w14:textId="5E99E013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</w:tr>
      <w:tr w:rsidR="00BD3D6F" w:rsidRPr="00955586" w14:paraId="75C58C3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CE9A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D08A1" w14:textId="6999CC3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0FBA8" w14:textId="4C3CC76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3168D" w14:textId="054E3BE5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4F3BE" w14:textId="3AA482F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795AB" w14:textId="46DE44A9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</w:tr>
      <w:tr w:rsidR="00BD3D6F" w:rsidRPr="00955586" w14:paraId="7654234C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067A3F8" w14:textId="61F84442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30A22E2" w14:textId="1A9F07BB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Zajednica sportskih udruga Općine Podstrana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3657EA0" w14:textId="1A88A09C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</w:t>
            </w:r>
            <w:r w:rsidR="0095085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7B7892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716875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BD3D6F" w:rsidRPr="00955586" w14:paraId="501D54F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DB080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CEEFB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CE57A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4BB8F8" w14:textId="64F5EE33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</w:t>
            </w:r>
            <w:r w:rsidR="0095085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03CDE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FFA9A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BD3D6F" w:rsidRPr="00955586" w14:paraId="5D6258B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1A95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AB3D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135C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CA865" w14:textId="675BA5CC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</w:t>
            </w:r>
            <w:r w:rsidR="0095085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4E18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D437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BD3D6F" w:rsidRPr="00955586" w14:paraId="16644911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0F24391" w14:textId="0BE8B8B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916D869" w14:textId="7D6AF93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Najam dvorane OŠ "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Strožanac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"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80C716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067117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D162A5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BD3D6F" w:rsidRPr="00955586" w14:paraId="60F8063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53E0C0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E1FBD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875BF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D2876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A1A98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F1668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BD3D6F" w:rsidRPr="00955586" w14:paraId="7583881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3417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3A27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C6B1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01B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AA7D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5F0C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BD3D6F" w:rsidRPr="00955586" w14:paraId="02CEA185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208CD38" w14:textId="7A01E078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B5C8B8" w14:textId="56F9E71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 poljoprivrednicima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62CDE3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254D70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BCA814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</w:tr>
      <w:tr w:rsidR="00BD3D6F" w:rsidRPr="00955586" w14:paraId="4887DD5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17102E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D49CA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8A079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650EE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F9C26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A4E23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D3D6F" w:rsidRPr="00955586" w14:paraId="33BF00B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2CEF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9847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64D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3894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5A74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03E9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D3D6F" w:rsidRPr="00955586" w14:paraId="44F8A78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8BA46E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2FE70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BED3E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prenamjenu poljoprivrednog zemljišta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B45D1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64896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F8484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6F96B2D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0A0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98FD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FA82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9043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4894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4337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785D909A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358E4AA" w14:textId="350D661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4490489" w14:textId="4C22525D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Ulaganje u razvoj MSP-ova putem PC "Scala d.o.o."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hideMark/>
          </w:tcPr>
          <w:p w14:paraId="24EE042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hideMark/>
          </w:tcPr>
          <w:p w14:paraId="5A22EAB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hideMark/>
          </w:tcPr>
          <w:p w14:paraId="0892874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135A8C3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8158E9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3CAAF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7710F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Donacije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107A9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3B379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D05BB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540153A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1D79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7E1B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B15F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8B10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EB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97D8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6ECE8983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1F1F8B7" w14:textId="5E11411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ADF6B48" w14:textId="5BBE95C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Novčane pomoći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69BB458" w14:textId="58F48D0C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95085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E62566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D9A983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</w:tr>
      <w:tr w:rsidR="00BD3D6F" w:rsidRPr="00955586" w14:paraId="33D3069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7E596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37C29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3016D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51101E" w14:textId="36DB0E86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95085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E43E7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3D46D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</w:tr>
      <w:tr w:rsidR="00BD3D6F" w:rsidRPr="00955586" w14:paraId="625BA7C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8A2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474E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ACB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Naknade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građ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i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kućan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na temelju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osig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 i druge naknade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C92FA" w14:textId="1418D283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  <w:r w:rsidR="0095085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F6F9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7D32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437.000,00</w:t>
            </w:r>
          </w:p>
        </w:tc>
      </w:tr>
      <w:tr w:rsidR="00BD3D6F" w:rsidRPr="00955586" w14:paraId="5954562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1454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AA0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9991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E99F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6960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6E5A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D3D6F" w:rsidRPr="00955586" w14:paraId="4C51387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B3D3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82F4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AE83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404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0DB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D076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F4C19F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2F0A684" w14:textId="39858F0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530FC01" w14:textId="38889A06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Hrvatski Crveni križ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0941E7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D60939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D0BF89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5155DA3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8DB8AF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F2C6D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C3524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BBC1B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039A2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3E33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0A548C3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190A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634C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26F6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02BD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EF74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22C2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6AF76D3F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893EEB9" w14:textId="6B89B46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E3A19C2" w14:textId="62A063ED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Vjerske zajednice-redovna djelatnost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55DC0E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8BEA60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4F520C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BD3D6F" w:rsidRPr="00955586" w14:paraId="0205187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270CDD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25413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44C1E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E1ED2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52DBD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C87A3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7548E55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7BB6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D778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E378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24C7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C044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C5D6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754B0B4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92B357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F6D2C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0091F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F19F7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808EF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F8C28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56A18BE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DA8D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43E7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D31B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EE4E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13BD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104C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56921DEA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E80100E" w14:textId="1CDB375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1F4B057" w14:textId="2038280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Vjerske zajednice-uređenje sakralnih objekata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86FD1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BA77FF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3E440A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BD3D6F" w:rsidRPr="00955586" w14:paraId="3933BE7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927785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FFF72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B9FBE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EA6AF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155F5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F6700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BD3D6F" w:rsidRPr="00955586" w14:paraId="724EBB1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DB4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1C0C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E3D0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AC4B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A5D9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4C53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BD3D6F" w:rsidRPr="00955586" w14:paraId="273A2BAF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16CB268" w14:textId="20E7407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205113A" w14:textId="63C4FD2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Gradska knjižnica Marko Marulić - Split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992B9F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CF4DD0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8CEF92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BD3D6F" w:rsidRPr="00955586" w14:paraId="360EE76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AAA778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E7B11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80801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FDC95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22D0C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B0FE0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BD3D6F" w:rsidRPr="00955586" w14:paraId="0AB3780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03A7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02EE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A3B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4A3F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3397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F4E1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BD3D6F" w:rsidRPr="00955586" w14:paraId="31409DCD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20FD2A6" w14:textId="0C554919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410EFB0" w14:textId="6B0D1A2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Donacije zdravstvenim ustanovama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EC432C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7DCB0F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87DE82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BD3D6F" w:rsidRPr="00955586" w14:paraId="216EA07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F295B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65876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0988E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C8F21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FBB7D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C987E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BD3D6F" w:rsidRPr="00955586" w14:paraId="621A77E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F24C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234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C9EE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E088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9DDA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891B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BD3D6F" w:rsidRPr="00955586" w14:paraId="09F5A6E1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C771776" w14:textId="5D78444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FCBE055" w14:textId="6AC57E72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EU projekt - RESISTANCE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B159F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258.000,00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4D5DCF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B8A769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CF1EB9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0FB59E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B74AD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BFB94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iz EU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E743E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258.000,00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24456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87C73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63E7028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891B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B15C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FA6F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2298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258.000,00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0D04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212C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636BB42D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0580121" w14:textId="581CBFD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B3028E7" w14:textId="0848EF9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Vatrogasna zajednica  Općine Podstrana - DVD Podstrana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53B893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80BF7F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E33C72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BD3D6F" w:rsidRPr="00955586" w14:paraId="45680F3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EC051B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8C9FB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D8378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389E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30C74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5AFB5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BD3D6F" w:rsidRPr="00955586" w14:paraId="2CBFB1A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BB08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104A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DAA4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9784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75EF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2B4D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BD3D6F" w:rsidRPr="00955586" w14:paraId="6BC685E1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10E697E" w14:textId="219383D6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0F1F837" w14:textId="25329A0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HGSS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D591CB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EAEF68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934DB1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BD3D6F" w:rsidRPr="00955586" w14:paraId="3372A65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0AF83B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E1D41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91417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73F72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DDEFF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4C555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BD3D6F" w:rsidRPr="00955586" w14:paraId="76B9A56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38F1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AC5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4305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7A2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9194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BEDA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BD3D6F" w:rsidRPr="00955586" w14:paraId="5272695A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B0AD939" w14:textId="3A592ED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A3C4F1F" w14:textId="39FD446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Civilna zaštita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045387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A93B58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FA89BE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BD3D6F" w:rsidRPr="00955586" w14:paraId="623259B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07984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826BE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73856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56919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1BE05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7B247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BD3D6F" w:rsidRPr="00955586" w14:paraId="6EF0A1C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D11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B4D9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D07C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5259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F9ED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CA20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BD3D6F" w:rsidRPr="00955586" w14:paraId="3B40050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760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9309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97A8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0066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1C16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58A8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BD3D6F" w:rsidRPr="00955586" w14:paraId="57AB3C0C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20EC3C7" w14:textId="2E04D91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B797B6A" w14:textId="20EAFCC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Razvoj širokopojasne infrastrukture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01601D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751168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CDA243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BD3D6F" w:rsidRPr="00955586" w14:paraId="4224B75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2B86E1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E23C8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3807B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07412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5C446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B8C9D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BD3D6F" w:rsidRPr="00955586" w14:paraId="4EEAF10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B6D1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4B9F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EEB7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A009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51E9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40F4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BD3D6F" w:rsidRPr="00955586" w14:paraId="0DC64950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62CA7E1" w14:textId="2EEFD1C2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A312786" w14:textId="35C2991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Financiranje redovne djelatnosti upravnog odjela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B5825C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FAF018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7D9E8D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</w:tr>
      <w:tr w:rsidR="00BD3D6F" w:rsidRPr="00955586" w14:paraId="66403E8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F7474D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77022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9A805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D8ECD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01CE9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5F475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</w:tr>
      <w:tr w:rsidR="00BD3D6F" w:rsidRPr="00955586" w14:paraId="1565942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A9E4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7B5B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A4E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AB65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4A9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87FA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167.000,00</w:t>
            </w:r>
          </w:p>
        </w:tc>
      </w:tr>
      <w:tr w:rsidR="00BD3D6F" w:rsidRPr="00955586" w14:paraId="5023DBE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1E41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79E6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54FE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D972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25.100,00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548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2F8E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25.100,00</w:t>
            </w:r>
          </w:p>
        </w:tc>
      </w:tr>
      <w:tr w:rsidR="00BD3D6F" w:rsidRPr="00955586" w14:paraId="3A82E059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AB753D5" w14:textId="17DB32B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17C6FB" w14:textId="3BFCF5F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Izgradnja sustava odvodnje oborinskih voda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716C92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030E3E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EA4920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BD3D6F" w:rsidRPr="00955586" w14:paraId="4CBB315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E59B69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87E64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99470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7EE7F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95F1C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6953A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BD3D6F" w:rsidRPr="00955586" w14:paraId="3DBEBD4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FCFC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41AC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52C2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0D8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B7D0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8945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BD3D6F" w:rsidRPr="00955586" w14:paraId="177C1CE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70C63A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71930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23872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Vodni doprinos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EEF6E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835FB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FB370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31E8369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DBDA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2AE6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9785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D316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C9DB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AA3B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47073A1E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48424A4" w14:textId="6C4CDCB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C7E67DE" w14:textId="4B69D20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Izrada prostorno planske dokumentacije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CBE1C2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44B858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04F233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84.000,00</w:t>
            </w:r>
          </w:p>
        </w:tc>
      </w:tr>
      <w:tr w:rsidR="00BD3D6F" w:rsidRPr="00955586" w14:paraId="3CE777B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4D66C3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6C4D2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D9F82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94515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01082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A2140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</w:tr>
      <w:tr w:rsidR="00BD3D6F" w:rsidRPr="00955586" w14:paraId="1B0BCB9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83DD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80CF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6F0C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7E14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94B1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267F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50CE94B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F588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3C44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A91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C778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28CA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A99E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</w:tr>
      <w:tr w:rsidR="00BD3D6F" w:rsidRPr="00955586" w14:paraId="6B21724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2C4F55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EC265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88268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legalizaciju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568C7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586FC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C3F88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BD3D6F" w:rsidRPr="00955586" w14:paraId="746DA43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B2DC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8B09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933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3FEF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8C3D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CCEF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BD3D6F" w:rsidRPr="00955586" w14:paraId="7D57C19C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D429A51" w14:textId="7980D9D3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F26ED77" w14:textId="07E3490B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Izgradnja javne rasvjete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B2DB00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2C742C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15AA42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370.000,00</w:t>
            </w:r>
          </w:p>
        </w:tc>
      </w:tr>
      <w:tr w:rsidR="00BD3D6F" w:rsidRPr="00955586" w14:paraId="231236C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AB67EC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BE921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F74F8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7D53D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07188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44EBA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BD3D6F" w:rsidRPr="00955586" w14:paraId="6C7FB1F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C052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D632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E64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9AFA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5B98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B015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BD3D6F" w:rsidRPr="00955586" w14:paraId="2F536EE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DB0327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14F8C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9A10F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BB03E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9144F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0F198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</w:tr>
      <w:tr w:rsidR="00BD3D6F" w:rsidRPr="00955586" w14:paraId="5EBDF13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1FDA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D3E9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27C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E681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B0DA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758F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</w:tr>
      <w:tr w:rsidR="00BD3D6F" w:rsidRPr="00955586" w14:paraId="26291F41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7DCEA16" w14:textId="7E651EB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10D0C8F" w14:textId="7BC682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Nadogradnja groblja Ban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45D83E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29A60F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7864C4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3454500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A0C3D4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854CD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E2CAF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4D41F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E874B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D2CE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870B52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F40B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25EF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AD5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F70B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548E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B510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AC2F33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E2DF8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52A3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51250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C87FD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DD2DC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31061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3101C41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AAAC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5731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E514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C6AF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1985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D59F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55EFFDA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CC2190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30532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F3B23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968A7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4B447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8E2A0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4CC0D19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1D93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6D0A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36A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A895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4219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9FDF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680AB0F2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C352DB4" w14:textId="2E85050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F270D6F" w14:textId="4E78F66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Osnovna škola "Sveti Martin"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336D52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99B6D6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AC1634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BD3D6F" w:rsidRPr="00955586" w14:paraId="0643EF6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33346A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6EB40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FE462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EA1E7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9EE8D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562E8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BD3D6F" w:rsidRPr="00955586" w14:paraId="781313C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2F2F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EE2D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28B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08A3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229C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8B48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20ADFB0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9DC7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B4C6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9B0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25E1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1ACD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FBA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2EB0A757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D8409FE" w14:textId="7AEA93A2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D8035EE" w14:textId="31642D83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Geodetski elaborati nerazvrstanih cesta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CEC97B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B84519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E3BFEF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178F21B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10802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1075C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838D4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6D881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0B55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CB552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3E04A43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CFF0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1C84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D1FD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FD97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682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36E8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39E8D89D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31B892C" w14:textId="2947908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26A3E9D" w14:textId="41653302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Izgradnja SRC Miljevac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8BB642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7FEBAD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251745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7D4F56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CAE311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75C97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BE75E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A3E7C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FEC7A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3E4B2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4414B99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1DA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A449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77C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3EC0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2AAC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E4CC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0C38BE06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A200E4C" w14:textId="397F6A06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AD167E7" w14:textId="6CBDD942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Stambeno zbrinjavanje branitelja iz DR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9AEE56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5A31C2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D7BAA1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BD3D6F" w:rsidRPr="00955586" w14:paraId="24567D0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DEB049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1DE4F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E6C38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CC02C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9328D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92A1D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BD3D6F" w:rsidRPr="00955586" w14:paraId="79990A3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6846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2329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CB10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5811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6803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07EB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BD3D6F" w:rsidRPr="00955586" w14:paraId="5D759BD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F28D4FC" w14:textId="681334C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C7FC9FF" w14:textId="438C28B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Uređenje protupožarnog puta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1246B3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D31F25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02A2FB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D3D6F" w:rsidRPr="00955586" w14:paraId="35F43D7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E8FDA0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56872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8C3E4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0BF2D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6FEA6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80A2D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D3D6F" w:rsidRPr="00955586" w14:paraId="53DF3E9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6E7E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A80E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0C40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1E02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0AB2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1F9F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D3D6F" w:rsidRPr="00955586" w14:paraId="6F78F02F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6FFF3E" w14:textId="43DBC26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19FBAB4" w14:textId="59739E48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Izgradnja APC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Petrićevo</w:t>
            </w:r>
            <w:proofErr w:type="spellEnd"/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55ED65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252E19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0A61B7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DBFEFC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A32540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D8CA9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DFC6A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663E6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73FAC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67D76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5612AAC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E58E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60F0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C643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0098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B0C7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F09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55811922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52E2035" w14:textId="60BCDD2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5966685" w14:textId="044801A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Izgradnja dječjeg igrališta-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Grljevac</w:t>
            </w:r>
            <w:proofErr w:type="spellEnd"/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E201F7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163D69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2B7DA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61C27AD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AE0B89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FD6CF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4A5D0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5DB01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39C20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D4F4D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1D0DD5C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002B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5318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A67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6226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349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72E7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7B4140A6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D02C7C" w14:textId="487CF9C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B47530E" w14:textId="4A82501B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Vanjska vježbališta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DB686D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E61098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BB85FD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48EE863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5A0B15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67D1F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EEA01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D8DB8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699D7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CB6BA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1676040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FD8E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1D9F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62E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D805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0A8B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5A05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2888E65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8844346" w14:textId="7D884F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515B504" w14:textId="43590E3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Sanacija pješačke i biciklističke staze na obalnom području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8BF8C3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772BD4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7D3EF1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</w:tr>
      <w:tr w:rsidR="00BD3D6F" w:rsidRPr="00955586" w14:paraId="20E7655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F9FB17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22668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C3A28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083B9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E3CEA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7C983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</w:tr>
      <w:tr w:rsidR="00BD3D6F" w:rsidRPr="00955586" w14:paraId="10AC417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8B19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2FED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8903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32C0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D3A5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4437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</w:tr>
      <w:tr w:rsidR="00BD3D6F" w:rsidRPr="00955586" w14:paraId="566D713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581107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92061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019F2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2EB89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6DA76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BB9C7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BD3D6F" w:rsidRPr="00955586" w14:paraId="3F964C2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D46D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3634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34A1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DCDD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DAAA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9DAA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BD3D6F" w:rsidRPr="00955586" w14:paraId="6E0C41F0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3F35373" w14:textId="715D7D3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8D524DE" w14:textId="0998BB6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Izgradnja Nove osnovne škole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5B2AB9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26D8A6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F63ADB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26217D2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4A79B7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2C401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A4822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0C812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C4924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2BD1E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292D14D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A943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4B60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91A3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01A6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1915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2CCF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6BC87625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184528B" w14:textId="2A98AF79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C5F7651" w14:textId="0C49E31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Izgradnja sportske lučice Sv. Martin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D5E5B5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7E34FC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796FF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3BEBF7C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69647A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4059A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BD85B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43856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6274D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288E6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27CBEA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CAE8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F93A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6DF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B424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96E0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E3DF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679550C2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AB82F5" w14:textId="3E90735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CCBCCF0" w14:textId="46A6E91D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Očuvanje kulturne baštine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573DD8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907773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E76332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3C58B3F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480A66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C3E8C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C638E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5EED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B9944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7AE96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36EC3D6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CD04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E89C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7B52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DAAF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4D46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4FA8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1781117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D486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F6E0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283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A895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2E67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FDDE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BD3D6F" w:rsidRPr="00955586" w14:paraId="3EEE5981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D8778DD" w14:textId="68B2E77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1349B70" w14:textId="1B068BD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Izgradnja i rekonstrukcija ulica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9E9CB7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2.397.000,00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9305AD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2.238.000,00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F19E18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2.238.000,00</w:t>
            </w:r>
          </w:p>
        </w:tc>
      </w:tr>
      <w:tr w:rsidR="00BD3D6F" w:rsidRPr="00955586" w14:paraId="35995FE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EC72B1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F8DF6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9FF40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4A5EE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27372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488.000,00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7CBE3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488.000,00</w:t>
            </w:r>
          </w:p>
        </w:tc>
      </w:tr>
      <w:tr w:rsidR="00BD3D6F" w:rsidRPr="00955586" w14:paraId="393B2C0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FFAC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56FE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AEB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B409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9CA3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F159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</w:tr>
      <w:tr w:rsidR="00BD3D6F" w:rsidRPr="00955586" w14:paraId="623CCC1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3CB0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17D6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9D6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63F1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F2E8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883F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</w:tr>
      <w:tr w:rsidR="00BD3D6F" w:rsidRPr="00955586" w14:paraId="6E16A75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F65C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F623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42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2663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78EB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9EB5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BD3D6F" w:rsidRPr="00955586" w14:paraId="3C4B4CB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1FD2E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EA0D2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0878E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E3F59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1.607.000,00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525D1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C9A85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1.450.000,00</w:t>
            </w:r>
          </w:p>
        </w:tc>
      </w:tr>
      <w:tr w:rsidR="00BD3D6F" w:rsidRPr="00955586" w14:paraId="4B8E7C3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C181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45ED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6C14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BF1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C222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6C0C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37F6DE3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12A3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D7C1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D43D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D395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464.000,00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E98D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AA48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</w:tr>
      <w:tr w:rsidR="00BD3D6F" w:rsidRPr="00955586" w14:paraId="159ACA9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85BB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2827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4286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25B9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1944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2B73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</w:tr>
      <w:tr w:rsidR="00BD3D6F" w:rsidRPr="00955586" w14:paraId="5402F98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BAD9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F81C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75F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46E8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943.000,00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2455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860.000,00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B92F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860.000,00</w:t>
            </w:r>
          </w:p>
        </w:tc>
      </w:tr>
      <w:tr w:rsidR="00BD3D6F" w:rsidRPr="00955586" w14:paraId="7D1743F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2AC4E6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D068C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5036C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D6111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5B7A3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6BC95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BD3D6F" w:rsidRPr="00955586" w14:paraId="5ECE8F4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7AAF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64A7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308A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24F5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9E91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ED06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BD3D6F" w:rsidRPr="00955586" w14:paraId="7F2CD621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55AB084" w14:textId="04257415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332941D" w14:textId="7D5FE34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Južni nogostup uz D8 - kod HC Lav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27B6F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CA242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7E960A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3EE871C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1FA16D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80D31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2F53B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D02C4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090B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FD8BC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2BBD7A0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22F1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4937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A127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5504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4B04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C0F8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6742F827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F0018CB" w14:textId="4003303D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1C3F5F1" w14:textId="2BE309F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Prometna svjetlosna signalizacija na pješačkim prijelazima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BCA34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7586AD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07E0A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3859C91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36EFED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9EFEF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A7EF1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7FB93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F06F4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E9046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121C0BE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3641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4D60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791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FE30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4EC5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AAD6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21A8810F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900BC69" w14:textId="1FE0280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C48E3C9" w14:textId="555E5B4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nerazvrstanih ulica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782F51C" w14:textId="7A166DC8" w:rsidR="00BD3D6F" w:rsidRPr="00955586" w:rsidRDefault="00DE4BE2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</w:t>
            </w:r>
            <w:r w:rsidR="00BD3D6F"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6020A6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755624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557.000,00</w:t>
            </w:r>
          </w:p>
        </w:tc>
      </w:tr>
      <w:tr w:rsidR="00BD3D6F" w:rsidRPr="00955586" w14:paraId="3EB6A8C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6BDDB6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2570F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6BE2D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BC361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73963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5602C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BD3D6F" w:rsidRPr="00955586" w14:paraId="4CD0ACB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8B2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7F4C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5D36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1A9D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03E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C9A1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BD3D6F" w:rsidRPr="00955586" w14:paraId="2C127CE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7EC293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FB8E0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85139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DB472E" w14:textId="166105AC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DE4BE2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4672B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AAFF5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BD3D6F" w:rsidRPr="00955586" w14:paraId="434E592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F858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1BE4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D221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1D34C" w14:textId="1FA00745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DE4BE2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3DFA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7E9B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BD3D6F" w:rsidRPr="00955586" w14:paraId="08CBCA8F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FBF7CF2" w14:textId="386F0EE9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0291DD6" w14:textId="756B8235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plaža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83D0D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947042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476489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D3D6F" w:rsidRPr="00955586" w14:paraId="0651D2D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26938A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F6C27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8F24F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DB560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7FDDC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6CCF1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25F9B94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628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CF31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769D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F19E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0C08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5E0B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40637FF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4482A5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54EF3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6949B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AE84B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25B7A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030F0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1C228CE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00DA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895F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C7F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9289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7DDC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43E3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5B318AEE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48569F6" w14:textId="4EB83423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D3F0AF6" w14:textId="179BCA9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sustava bicikala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4F28F2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869D90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FB8AF8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BD3D6F" w:rsidRPr="00955586" w14:paraId="561B082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ABA69A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23292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ED9FE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036C0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5481E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08D68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BD3D6F" w:rsidRPr="00955586" w14:paraId="0F6C4ED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4BDD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3129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CAA2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FAB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4EE2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07C4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BD3D6F" w:rsidRPr="00955586" w14:paraId="343F350F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918630B" w14:textId="37EAF509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79C82E6" w14:textId="0BB4F36B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javne rasvjete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55C714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6732E6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BC8DFD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BD3D6F" w:rsidRPr="00955586" w14:paraId="4C88A1A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E35C0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4DB79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88968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3E8E7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ED36A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55F44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</w:tr>
      <w:tr w:rsidR="00BD3D6F" w:rsidRPr="00955586" w14:paraId="082E6C9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E726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811D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0597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8ABC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2E94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350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</w:tr>
      <w:tr w:rsidR="00BD3D6F" w:rsidRPr="00955586" w14:paraId="0982E59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09B4C6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6905C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100BF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FE4A2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7076B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881B1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BD3D6F" w:rsidRPr="00955586" w14:paraId="706D3D2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EB53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AACE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84DD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45AC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B221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8979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BD3D6F" w:rsidRPr="00955586" w14:paraId="4B175F45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9CFAFDA" w14:textId="34B0E1A3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F99F7F8" w14:textId="4BC737B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dječjih igrališta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78E07BD" w14:textId="124F6D88" w:rsidR="00BD3D6F" w:rsidRPr="00955586" w:rsidRDefault="00DE4BE2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</w:t>
            </w:r>
            <w:r w:rsidR="00BD3D6F"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ECBA5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5885AF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BD3D6F" w:rsidRPr="00955586" w14:paraId="160886D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AEBF38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EAA96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728B8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368FD3" w14:textId="181DD8B9" w:rsidR="00BD3D6F" w:rsidRPr="00955586" w:rsidRDefault="00DE4BE2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</w:t>
            </w:r>
            <w:r w:rsidR="00BD3D6F"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3859A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D4713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D3D6F" w:rsidRPr="00955586" w14:paraId="288ADF0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9404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354F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F163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AD47F" w14:textId="1A9BA5B7" w:rsidR="00BD3D6F" w:rsidRPr="00955586" w:rsidRDefault="00DE4BE2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</w:t>
            </w:r>
            <w:r w:rsidR="00BD3D6F"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7078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93FA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D3D6F" w:rsidRPr="00955586" w14:paraId="66AB7BA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9BCE36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42DB5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E462E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BC8E9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B8290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09CA8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D3D6F" w:rsidRPr="00955586" w14:paraId="75FAAB9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4857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2375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12AF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3B63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34E3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BE70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D3D6F" w:rsidRPr="00955586" w14:paraId="1B10AD17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C96AF75" w14:textId="532A29E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BD5D414" w14:textId="00CCFD9D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autobusnih stajališta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97C7F8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834AC4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7C27BB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3C62E7E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CD1921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49F5A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6212B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DF581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44085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01714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4CD7601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6D37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C756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724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F738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1257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8260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1F642FA8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D8E16E9" w14:textId="694059E6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F11F090" w14:textId="13957F46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Restauracija-konzervacija umjetničkih djela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90DEEB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68C68A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397BE1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BD3D6F" w:rsidRPr="00955586" w14:paraId="29B42EE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84F59A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CF104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B04CE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AFF82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D02DB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77744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BD3D6F" w:rsidRPr="00955586" w14:paraId="411C9DA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8BB8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C87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D4D5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BAA5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2530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7E65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BD3D6F" w:rsidRPr="00955586" w14:paraId="6938B0EA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1D8E7CA" w14:textId="0F61CD49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940D4DF" w14:textId="64C5B29B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objekata u vlasništvu i posjedu Općine Podstrana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8223D8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4A03E8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28AFDD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BD3D6F" w:rsidRPr="00955586" w14:paraId="3437E65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E7E75C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A392E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47A9F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37C77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EC914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8E113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BD3D6F" w:rsidRPr="00955586" w14:paraId="703F909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D672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A6C0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F18D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85DB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FADC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9F6D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BD3D6F" w:rsidRPr="00955586" w14:paraId="452F128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19BB033" w14:textId="1BC8E03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CC3745C" w14:textId="360D2F5B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Uređenje i opremanje zgrada u vlasništvu i posjedu Općine Podstrana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7E4B1E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B8AE3A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A4C88F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</w:tr>
      <w:tr w:rsidR="00BD3D6F" w:rsidRPr="00955586" w14:paraId="68BC404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E73BC8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ED46F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C84D5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6D79C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E4B43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E23FF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BD3D6F" w:rsidRPr="00955586" w14:paraId="42BC4A5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B501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D64B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B35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2045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D6E1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49B0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BD3D6F" w:rsidRPr="00955586" w14:paraId="46205E7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D9E1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5A23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8F4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2868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00A1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EEEE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23C0836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D43AA4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DA8FC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C9A15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2AB3E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4440D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79550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BD3D6F" w:rsidRPr="00955586" w14:paraId="360CE32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CE7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5427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BD4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01ED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CCE3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0DEB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BD3D6F" w:rsidRPr="00955586" w14:paraId="4B747583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774273E" w14:textId="044EDB5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122C99" w14:textId="6040D93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Zgrada javne i društvene namjene u Sv. Martinu (ex. Vinkovačko)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8F98A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5DF125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9CF296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7D2F35A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CD10A9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04F6B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79A3B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A1CC2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20FF9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F9B8B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4DDCCD9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AB32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84E9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AD14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4BD5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15BD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D5D3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4FE8B247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AC8A4FA" w14:textId="6F47AFF9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E6DD359" w14:textId="32D9F98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Izgradnja sportske dvorane 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Strožancu</w:t>
            </w:r>
            <w:proofErr w:type="spellEnd"/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17B4DE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2683BE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3D00F5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3.500.000,00</w:t>
            </w:r>
          </w:p>
        </w:tc>
      </w:tr>
      <w:tr w:rsidR="00BD3D6F" w:rsidRPr="00955586" w14:paraId="6949931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0C2071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454FF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188F9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22148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7A86F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98783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BD3D6F" w:rsidRPr="00955586" w14:paraId="5F13560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C34B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F312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CF1B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2818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FE93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1CBC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BD3D6F" w:rsidRPr="00955586" w14:paraId="2F64608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D72D7F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F91F6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368A1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7F279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1F46C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EB994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</w:tr>
      <w:tr w:rsidR="00BD3D6F" w:rsidRPr="00955586" w14:paraId="0F1B3E5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91C1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7D63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2658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FB2E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C78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5431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</w:tr>
      <w:tr w:rsidR="00BD3D6F" w:rsidRPr="00955586" w14:paraId="1125CC03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33374E9" w14:textId="4F362E3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818D84E" w14:textId="2C36D92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Poslovni centar s garažom Miljevac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A2149D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A1AFA3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7FE483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57EA4E7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105AFD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7F9C2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97B61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D8203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59AEA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8D5B0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3C7D46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1488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760D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A179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8D87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6167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8B22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1C4CA6F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2CDA9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C9FAD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A7ED5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13E9C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FC93E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C283F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296B6F4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E399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3D98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CE60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AF0F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B428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4B04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1CEE0615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998EEAE" w14:textId="45F1436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B0954AB" w14:textId="6C9908B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Izgradnja novog vatrogasnog doma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13780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9392BE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156E07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4495F9E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6C06BA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4B092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A9FEB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642DC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3D5EA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65C07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500AFD7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1479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3836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4FEA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62A2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CC91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BD29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58EF41B8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0AB904E" w14:textId="53B3B34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0CBEFC1" w14:textId="2FF1F4CD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redovne djelatnosti odsjeka za komunalno redarstvo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DC033B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18CE0E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49BD2B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</w:tr>
      <w:tr w:rsidR="00BD3D6F" w:rsidRPr="00955586" w14:paraId="4AF2ED7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B9131F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1F7FF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7C788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D77FE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53C81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310E0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</w:tr>
      <w:tr w:rsidR="00BD3D6F" w:rsidRPr="00955586" w14:paraId="6D9F996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BE0E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05B2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6DC4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F861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8FF2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1FF6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</w:tr>
      <w:tr w:rsidR="00BD3D6F" w:rsidRPr="00955586" w14:paraId="31DB8DB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C40A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A4BA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3E8A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917A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D6FB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441C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</w:tr>
      <w:tr w:rsidR="00BD3D6F" w:rsidRPr="00955586" w14:paraId="5CE046F2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ED95278" w14:textId="70492AE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23D9206" w14:textId="4200806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redovnog poslovanja komunalnog pogona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A80A39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411137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25029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</w:tr>
      <w:tr w:rsidR="00BD3D6F" w:rsidRPr="00955586" w14:paraId="3C695A6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0E9CB0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9DDF9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963FB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0D46B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5F7BB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19875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</w:tr>
      <w:tr w:rsidR="00BD3D6F" w:rsidRPr="00955586" w14:paraId="746E299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D5CA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7966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2E32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0FD6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388.500,00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6C02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388.500,00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72AB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388.500,00</w:t>
            </w:r>
          </w:p>
        </w:tc>
      </w:tr>
      <w:tr w:rsidR="00BD3D6F" w:rsidRPr="00955586" w14:paraId="68908FD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26E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5499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5B4A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A79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7E3C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9612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</w:tr>
      <w:tr w:rsidR="00BD3D6F" w:rsidRPr="00955586" w14:paraId="1AD18A3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CEB55A5" w14:textId="5946E3B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B415E4D" w14:textId="284A6275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komunalnih i osobnih vozila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E24CEB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51AC6A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F44BB4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</w:tr>
      <w:tr w:rsidR="00BD3D6F" w:rsidRPr="00955586" w14:paraId="7911587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B0C170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F9D4E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68AAD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E9BB0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B8C11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D3E55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</w:tr>
      <w:tr w:rsidR="00BD3D6F" w:rsidRPr="00955586" w14:paraId="71E8748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B0F9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0F4C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B84F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72E7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F3B3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F839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</w:tr>
      <w:tr w:rsidR="00BD3D6F" w:rsidRPr="00955586" w14:paraId="7BB028D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B20E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A313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934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9111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185A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06F7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D3D6F" w:rsidRPr="00955586" w14:paraId="4FFBF1C9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01C1521" w14:textId="4343ECC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063560D" w14:textId="37AA2DF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Održavanje javnih površina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DCBC491" w14:textId="04B40EC4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D40BE1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7C9B39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495.000,00</w:t>
            </w:r>
          </w:p>
        </w:tc>
      </w:tr>
      <w:tr w:rsidR="00BD3D6F" w:rsidRPr="00955586" w14:paraId="746666E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7799DE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56980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14836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04BAD5" w14:textId="2CEFDC4A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72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8039B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3243F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BD3D6F" w:rsidRPr="00955586" w14:paraId="3D73BCB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73FC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7942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C9A7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A19B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8E10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DFD8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</w:tr>
      <w:tr w:rsidR="00BD3D6F" w:rsidRPr="00955586" w14:paraId="48112B7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AC94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8E07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309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496A0" w14:textId="4DA2229B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36CF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713D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D3D6F" w:rsidRPr="00955586" w14:paraId="117A885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C966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3773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50F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C4BFC" w14:textId="0CB09089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BDFF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C8D6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1DAB58B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CDEB45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C7723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763C2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AC3AD6" w14:textId="317C8713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59FCF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4B0FD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BD3D6F" w:rsidRPr="00955586" w14:paraId="2F1DF3E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15E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C8D6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90CB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58E3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EC8C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83AA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BD3D6F" w:rsidRPr="00955586" w14:paraId="039FF7BA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B22AE6D" w14:textId="7965358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C8A4657" w14:textId="28A2AA0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Organizacija, naplata i održavanje parkirališta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5CC394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6BD928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1AA76E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22.200,00</w:t>
            </w:r>
          </w:p>
        </w:tc>
      </w:tr>
      <w:tr w:rsidR="00BD3D6F" w:rsidRPr="00955586" w14:paraId="5420E29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EF4775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95166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89663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34B36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D3F0A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C510C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22.200,00</w:t>
            </w:r>
          </w:p>
        </w:tc>
      </w:tr>
      <w:tr w:rsidR="00BD3D6F" w:rsidRPr="00955586" w14:paraId="5FD50A4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21F0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C939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748C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3552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7CB1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6D63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18.200,00</w:t>
            </w:r>
          </w:p>
        </w:tc>
      </w:tr>
      <w:tr w:rsidR="00BD3D6F" w:rsidRPr="00955586" w14:paraId="05E1A74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7D07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4043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2C6A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712E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DF60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41B8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BD3D6F" w:rsidRPr="00955586" w14:paraId="0E674467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CDBD57E" w14:textId="54D5E9E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89A162B" w14:textId="44B0593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zgrada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C705A8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D4E813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7C07C2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BD3D6F" w:rsidRPr="00955586" w14:paraId="5D5811C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B7D64C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A4E1E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7B088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FA27B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D1FBC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B4135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BD3D6F" w:rsidRPr="00955586" w14:paraId="5F6D406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41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2D6B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305B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BD2B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019F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0DDE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BD3D6F" w:rsidRPr="00955586" w14:paraId="3ED51DC0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D4CA1AE" w14:textId="08AE5D1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FE3907C" w14:textId="4DDDC14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groblja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07B9C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11F0DB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F5F1C8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</w:tr>
      <w:tr w:rsidR="00BD3D6F" w:rsidRPr="00955586" w14:paraId="015A451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E3163C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D8BA3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6C8F3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8F15A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3E449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DA4A1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</w:tr>
      <w:tr w:rsidR="00BD3D6F" w:rsidRPr="00955586" w14:paraId="3956D14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8E48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5290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4BAB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C9D7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1D60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287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</w:tr>
    </w:tbl>
    <w:p w14:paraId="5FB8B215" w14:textId="77777777" w:rsidR="00EA6301" w:rsidRDefault="00EA6301" w:rsidP="002E629C">
      <w:pPr>
        <w:rPr>
          <w:bCs/>
          <w:iCs/>
          <w:lang w:val="hr-HR"/>
        </w:rPr>
      </w:pPr>
    </w:p>
    <w:p w14:paraId="2491AB99" w14:textId="77777777" w:rsidR="00EA6301" w:rsidRDefault="00EA6301" w:rsidP="002E629C">
      <w:pPr>
        <w:rPr>
          <w:bCs/>
          <w:iCs/>
          <w:lang w:val="hr-HR"/>
        </w:rPr>
      </w:pPr>
    </w:p>
    <w:p w14:paraId="6FE5A7D2" w14:textId="77777777" w:rsidR="00E44551" w:rsidRDefault="00E44551" w:rsidP="002E629C">
      <w:pPr>
        <w:rPr>
          <w:bCs/>
          <w:iCs/>
          <w:lang w:val="hr-HR"/>
        </w:rPr>
      </w:pPr>
    </w:p>
    <w:p w14:paraId="126AE4B4" w14:textId="77777777" w:rsidR="00E44551" w:rsidRDefault="00E44551" w:rsidP="002E629C">
      <w:pPr>
        <w:rPr>
          <w:bCs/>
          <w:iCs/>
          <w:lang w:val="hr-HR"/>
        </w:rPr>
      </w:pPr>
    </w:p>
    <w:p w14:paraId="5732C3E6" w14:textId="77777777" w:rsidR="00E44551" w:rsidRDefault="00E44551" w:rsidP="002E629C">
      <w:pPr>
        <w:rPr>
          <w:bCs/>
          <w:iCs/>
          <w:lang w:val="hr-HR"/>
        </w:rPr>
      </w:pPr>
    </w:p>
    <w:p w14:paraId="70AE4AA5" w14:textId="77777777" w:rsidR="00E44551" w:rsidRDefault="00E44551" w:rsidP="002E629C">
      <w:pPr>
        <w:rPr>
          <w:bCs/>
          <w:iCs/>
          <w:lang w:val="hr-HR"/>
        </w:rPr>
      </w:pPr>
    </w:p>
    <w:p w14:paraId="68ACD980" w14:textId="77777777" w:rsidR="00E44551" w:rsidRDefault="00E44551" w:rsidP="002E629C">
      <w:pPr>
        <w:rPr>
          <w:bCs/>
          <w:iCs/>
          <w:lang w:val="hr-HR"/>
        </w:rPr>
      </w:pPr>
    </w:p>
    <w:p w14:paraId="6C422878" w14:textId="77777777" w:rsidR="00E44551" w:rsidRDefault="00E44551" w:rsidP="002E629C">
      <w:pPr>
        <w:rPr>
          <w:bCs/>
          <w:iCs/>
          <w:lang w:val="hr-HR"/>
        </w:rPr>
      </w:pPr>
    </w:p>
    <w:p w14:paraId="3D89E1E5" w14:textId="77777777" w:rsidR="00E44551" w:rsidRDefault="00E44551" w:rsidP="002E629C">
      <w:pPr>
        <w:rPr>
          <w:bCs/>
          <w:iCs/>
          <w:lang w:val="hr-HR"/>
        </w:rPr>
      </w:pPr>
    </w:p>
    <w:p w14:paraId="7658F36E" w14:textId="77777777" w:rsidR="00E44551" w:rsidRDefault="00E44551" w:rsidP="002E629C">
      <w:pPr>
        <w:rPr>
          <w:bCs/>
          <w:iCs/>
          <w:lang w:val="hr-HR"/>
        </w:rPr>
      </w:pPr>
    </w:p>
    <w:p w14:paraId="18778908" w14:textId="77777777" w:rsidR="00EA6301" w:rsidRDefault="00EA6301" w:rsidP="002E629C">
      <w:pPr>
        <w:rPr>
          <w:bCs/>
          <w:iCs/>
          <w:lang w:val="hr-HR"/>
        </w:rPr>
      </w:pPr>
    </w:p>
    <w:tbl>
      <w:tblPr>
        <w:tblW w:w="14776" w:type="dxa"/>
        <w:tblLook w:val="04A0" w:firstRow="1" w:lastRow="0" w:firstColumn="1" w:lastColumn="0" w:noHBand="0" w:noVBand="1"/>
      </w:tblPr>
      <w:tblGrid>
        <w:gridCol w:w="688"/>
        <w:gridCol w:w="6356"/>
        <w:gridCol w:w="2774"/>
        <w:gridCol w:w="2774"/>
        <w:gridCol w:w="2184"/>
      </w:tblGrid>
      <w:tr w:rsidR="00EA6301" w14:paraId="699E02BC" w14:textId="77777777" w:rsidTr="00E44551">
        <w:trPr>
          <w:trHeight w:val="51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00EEAB" w14:textId="77777777" w:rsidR="00EA6301" w:rsidRDefault="00EA6301">
            <w:pPr>
              <w:rPr>
                <w:rFonts w:ascii="Calibri" w:hAnsi="Calibri" w:cs="Calibri"/>
                <w:lang w:val="hr-HR" w:eastAsia="hr-HR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6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ED0FF2B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Funkcijska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klasifikacija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2DA07EF" w14:textId="77777777" w:rsidR="00EA6301" w:rsidRDefault="00EA6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PRORAČUN 2024.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16F4AA4" w14:textId="77777777" w:rsidR="00EA6301" w:rsidRDefault="00EA6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 2025.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58F6839" w14:textId="77777777" w:rsidR="00EA6301" w:rsidRDefault="00EA6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 2026.</w:t>
            </w:r>
          </w:p>
        </w:tc>
      </w:tr>
      <w:tr w:rsidR="00EA6301" w14:paraId="71449BEF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BD0B1" w14:textId="77777777" w:rsidR="00EA6301" w:rsidRDefault="00EA630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213CF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Opće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javne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usluge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EA945" w14:textId="0F8F5010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2.4</w:t>
            </w:r>
            <w:r w:rsidR="00DE4BE2"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</w:rPr>
              <w:t>1.040,00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070F8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2.163.040,00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A96B6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2.163.040,00</w:t>
            </w:r>
          </w:p>
        </w:tc>
      </w:tr>
      <w:tr w:rsidR="00EA6301" w14:paraId="1E6CE61D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F0C2B" w14:textId="77777777" w:rsidR="00EA6301" w:rsidRDefault="00EA630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2C0A2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Obrana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50029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8.800,00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401BC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8.800,00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33ECB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8.800,00</w:t>
            </w:r>
          </w:p>
        </w:tc>
      </w:tr>
      <w:tr w:rsidR="00EA6301" w14:paraId="51E2C37A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49D75" w14:textId="77777777" w:rsidR="00EA6301" w:rsidRDefault="00EA630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970D0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Javni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red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sigurnost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9B733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768.300,00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5FEFD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768.300,00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3F320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768.300,00</w:t>
            </w:r>
          </w:p>
        </w:tc>
      </w:tr>
      <w:tr w:rsidR="00EA6301" w14:paraId="3B993B61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09A6" w14:textId="77777777" w:rsidR="00EA6301" w:rsidRDefault="00EA630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8CF1D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Ekonomski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poslovi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E7303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2.601.645,29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F0E03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2.601.645,29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94D5A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2.601.645,29</w:t>
            </w:r>
          </w:p>
        </w:tc>
      </w:tr>
      <w:tr w:rsidR="00EA6301" w14:paraId="7C6C5020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7CF3C" w14:textId="592D0D17" w:rsidR="00EA6301" w:rsidRDefault="00BF7E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DE4BE2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5DFD9" w14:textId="77777777" w:rsidR="00EA6301" w:rsidRP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EA6301">
              <w:rPr>
                <w:rFonts w:ascii="Calibri" w:hAnsi="Calibri" w:cs="Calibri"/>
                <w:b/>
                <w:bCs/>
                <w:color w:val="000000"/>
                <w:lang w:val="it-IT"/>
              </w:rPr>
              <w:t>Usluge</w:t>
            </w:r>
            <w:proofErr w:type="spellEnd"/>
            <w:r w:rsidRPr="00EA6301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EA6301">
              <w:rPr>
                <w:rFonts w:ascii="Calibri" w:hAnsi="Calibri" w:cs="Calibri"/>
                <w:b/>
                <w:bCs/>
                <w:color w:val="000000"/>
                <w:lang w:val="it-IT"/>
              </w:rPr>
              <w:t>unaprjeđenja</w:t>
            </w:r>
            <w:proofErr w:type="spellEnd"/>
            <w:r w:rsidRPr="00EA6301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EA6301">
              <w:rPr>
                <w:rFonts w:ascii="Calibri" w:hAnsi="Calibri" w:cs="Calibri"/>
                <w:b/>
                <w:bCs/>
                <w:color w:val="000000"/>
                <w:lang w:val="it-IT"/>
              </w:rPr>
              <w:t>stanovanja</w:t>
            </w:r>
            <w:proofErr w:type="spellEnd"/>
            <w:r w:rsidRPr="00EA6301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i </w:t>
            </w:r>
            <w:proofErr w:type="spellStart"/>
            <w:r w:rsidRPr="00EA6301">
              <w:rPr>
                <w:rFonts w:ascii="Calibri" w:hAnsi="Calibri" w:cs="Calibri"/>
                <w:b/>
                <w:bCs/>
                <w:color w:val="000000"/>
                <w:lang w:val="it-IT"/>
              </w:rPr>
              <w:t>zajednice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98ABC" w14:textId="60F163CC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4.7</w:t>
            </w:r>
            <w:r w:rsidR="00DE4BE2">
              <w:rPr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</w:rPr>
              <w:t>9.440,00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C19E7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4.679.440,00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A70F5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4.679.440,00</w:t>
            </w:r>
          </w:p>
        </w:tc>
      </w:tr>
      <w:tr w:rsidR="00EA6301" w14:paraId="15A47F5F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D5C2" w14:textId="59C68CB7" w:rsidR="00EA6301" w:rsidRDefault="00BF7E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DE4BE2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504F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Zdravstvo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E8EE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21.000,00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9A40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21.000,00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4E09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21.000,00</w:t>
            </w:r>
          </w:p>
        </w:tc>
      </w:tr>
      <w:tr w:rsidR="00EA6301" w14:paraId="035077DA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719A7" w14:textId="7D60A74A" w:rsidR="00EA6301" w:rsidRDefault="00BF7E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DE4BE2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1A13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Rekreacija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kultura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religija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50EC9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1.711.500,00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52496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1.611.500,00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97A2A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1.611.500,00</w:t>
            </w:r>
          </w:p>
        </w:tc>
      </w:tr>
      <w:tr w:rsidR="00EA6301" w14:paraId="5D0A135F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8A76" w14:textId="6954CFBD" w:rsidR="00EA6301" w:rsidRDefault="00BF7E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DE4BE2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6A768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Obrazovanje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501F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1.424.000,00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B7B2C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1.424.000,00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10C84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1.424.000,00</w:t>
            </w:r>
          </w:p>
        </w:tc>
      </w:tr>
      <w:tr w:rsidR="00EA6301" w14:paraId="75D0ED8D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6012C" w14:textId="325F305D" w:rsidR="00EA6301" w:rsidRDefault="00DE4BE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7D0C6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Socijalna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zaštita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102F6" w14:textId="1F22F72C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DE4BE2">
              <w:rPr>
                <w:rFonts w:ascii="Calibri" w:hAnsi="Calibri" w:cs="Calibri"/>
                <w:b/>
                <w:bCs/>
                <w:color w:val="000000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</w:rPr>
              <w:t>5.000,00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B78B3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545.000,00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242FE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545.000,00</w:t>
            </w:r>
          </w:p>
        </w:tc>
      </w:tr>
    </w:tbl>
    <w:p w14:paraId="307EBB69" w14:textId="77777777" w:rsidR="00EA6301" w:rsidRDefault="00EA6301" w:rsidP="002E629C">
      <w:pPr>
        <w:rPr>
          <w:bCs/>
          <w:iCs/>
          <w:lang w:val="hr-HR"/>
        </w:rPr>
      </w:pPr>
    </w:p>
    <w:p w14:paraId="065DD34C" w14:textId="77777777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769A1BAB" w14:textId="77777777" w:rsidR="002E629C" w:rsidRDefault="002E629C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58D948DF" w14:textId="77777777" w:rsidR="00CD55B3" w:rsidRPr="00C24FD2" w:rsidRDefault="00CD55B3" w:rsidP="00CD55B3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b/>
          <w:bCs/>
          <w:lang w:val="hr-HR" w:eastAsia="hr-HR"/>
        </w:rPr>
      </w:pPr>
      <w:r w:rsidRPr="00C24FD2">
        <w:rPr>
          <w:rFonts w:asciiTheme="minorHAnsi" w:hAnsiTheme="minorHAnsi" w:cstheme="minorHAnsi"/>
          <w:b/>
          <w:bCs/>
          <w:lang w:val="hr-HR" w:eastAsia="hr-HR"/>
        </w:rPr>
        <w:t>RAČUN FINANCIRANJA</w:t>
      </w:r>
    </w:p>
    <w:p w14:paraId="22CD697B" w14:textId="77777777" w:rsidR="00CD55B3" w:rsidRDefault="00CD55B3" w:rsidP="00CD55B3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3D545EB0" w14:textId="77777777" w:rsidR="00CD55B3" w:rsidRPr="00C24FD2" w:rsidRDefault="00CD55B3" w:rsidP="00CD55B3">
      <w:pPr>
        <w:rPr>
          <w:rFonts w:asciiTheme="minorHAnsi" w:hAnsiTheme="minorHAnsi" w:cstheme="minorHAnsi"/>
          <w:b/>
          <w:bCs/>
          <w:lang w:val="hr-HR" w:eastAsia="hr-HR"/>
        </w:rPr>
      </w:pPr>
    </w:p>
    <w:tbl>
      <w:tblPr>
        <w:tblW w:w="4939" w:type="pct"/>
        <w:tblLook w:val="04A0" w:firstRow="1" w:lastRow="0" w:firstColumn="1" w:lastColumn="0" w:noHBand="0" w:noVBand="1"/>
      </w:tblPr>
      <w:tblGrid>
        <w:gridCol w:w="648"/>
        <w:gridCol w:w="6066"/>
        <w:gridCol w:w="1727"/>
        <w:gridCol w:w="178"/>
        <w:gridCol w:w="1603"/>
        <w:gridCol w:w="268"/>
        <w:gridCol w:w="1739"/>
        <w:gridCol w:w="2165"/>
      </w:tblGrid>
      <w:tr w:rsidR="00CD55B3" w:rsidRPr="00E42377" w14:paraId="08D02E85" w14:textId="77777777" w:rsidTr="001F504B">
        <w:trPr>
          <w:trHeight w:val="277"/>
          <w:tblHeader/>
        </w:trPr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C158F5" w14:textId="77777777" w:rsidR="00CD55B3" w:rsidRPr="00E42377" w:rsidRDefault="00CD55B3" w:rsidP="001F50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</w:pPr>
            <w:proofErr w:type="spellStart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Raz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 xml:space="preserve">./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Sku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21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7E92BB" w14:textId="77777777" w:rsidR="00CD55B3" w:rsidRPr="00E42377" w:rsidRDefault="00CD55B3" w:rsidP="001F50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</w:tcPr>
          <w:p w14:paraId="7ED00711" w14:textId="77777777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RORAČUN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2023.</w:t>
            </w: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</w:tcPr>
          <w:p w14:paraId="0DAC100A" w14:textId="77777777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PRORAČUN 2024.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CF002A9" w14:textId="77777777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PROJEKCIJA 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EA2DB9F" w14:textId="77777777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PROJEKCIJA 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CD55B3" w:rsidRPr="00E42377" w14:paraId="1B7C1863" w14:textId="77777777" w:rsidTr="001F504B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</w:tcPr>
          <w:p w14:paraId="359549EE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2107" w:type="pct"/>
            <w:shd w:val="clear" w:color="auto" w:fill="8DB3E2" w:themeFill="text2" w:themeFillTint="66"/>
          </w:tcPr>
          <w:p w14:paraId="3B421058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Izdaci za financijsku imovinu i otplate zajmova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7079D47C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0,00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0CD9950F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</w:tcPr>
          <w:p w14:paraId="1238053E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</w:tcPr>
          <w:p w14:paraId="0A2DD61F" w14:textId="77777777" w:rsidR="00CD55B3" w:rsidRPr="00451462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-</w:t>
            </w:r>
          </w:p>
        </w:tc>
      </w:tr>
      <w:tr w:rsidR="00CD55B3" w:rsidRPr="00E42377" w14:paraId="71824856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02C05F7E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51</w:t>
            </w:r>
          </w:p>
        </w:tc>
        <w:tc>
          <w:tcPr>
            <w:tcW w:w="2107" w:type="pct"/>
            <w:shd w:val="clear" w:color="auto" w:fill="auto"/>
          </w:tcPr>
          <w:p w14:paraId="291C09DD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Izdaci za dane zajmove i depozite</w:t>
            </w:r>
          </w:p>
        </w:tc>
        <w:tc>
          <w:tcPr>
            <w:tcW w:w="600" w:type="pct"/>
          </w:tcPr>
          <w:p w14:paraId="33B339C1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7DBB831E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1DA20638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6BD5509B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-</w:t>
            </w:r>
          </w:p>
        </w:tc>
      </w:tr>
      <w:tr w:rsidR="00CD55B3" w:rsidRPr="00E42377" w14:paraId="58E7E399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2E1DF92A" w14:textId="77777777" w:rsidR="00CD55B3" w:rsidRPr="00E42377" w:rsidRDefault="00CD55B3" w:rsidP="001F504B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518</w:t>
            </w:r>
          </w:p>
        </w:tc>
        <w:tc>
          <w:tcPr>
            <w:tcW w:w="2107" w:type="pct"/>
            <w:shd w:val="clear" w:color="auto" w:fill="auto"/>
          </w:tcPr>
          <w:p w14:paraId="4EEC85B7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Izdaci za depozite i </w:t>
            </w:r>
            <w:proofErr w:type="spellStart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>jamčevne</w:t>
            </w:r>
            <w:proofErr w:type="spellEnd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>pologe</w:t>
            </w:r>
            <w:proofErr w:type="spellEnd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00" w:type="pct"/>
          </w:tcPr>
          <w:p w14:paraId="62D2A5EE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46347D3E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66B58EEF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E3957BD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-</w:t>
            </w:r>
          </w:p>
        </w:tc>
      </w:tr>
      <w:tr w:rsidR="00CD55B3" w:rsidRPr="00E42377" w14:paraId="5F7A5911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53133AAC" w14:textId="77777777" w:rsidR="00CD55B3" w:rsidRPr="00E42377" w:rsidRDefault="00CD55B3" w:rsidP="001F504B">
            <w:pPr>
              <w:rPr>
                <w:rFonts w:ascii="Calibri" w:hAnsi="Calibri" w:cs="Calibr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2107" w:type="pct"/>
            <w:shd w:val="clear" w:color="auto" w:fill="auto"/>
          </w:tcPr>
          <w:p w14:paraId="23BECD60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hr-HR"/>
              </w:rPr>
              <w:t>Izdaci za otplatu glavnice primljenih kredita i zajmova</w:t>
            </w:r>
          </w:p>
        </w:tc>
        <w:tc>
          <w:tcPr>
            <w:tcW w:w="600" w:type="pct"/>
          </w:tcPr>
          <w:p w14:paraId="69D99D23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5C6E2992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93DA86C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D72FDAB" w14:textId="77777777" w:rsidR="00CD55B3" w:rsidRPr="00E42377" w:rsidRDefault="00CD55B3" w:rsidP="001F504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-</w:t>
            </w:r>
          </w:p>
        </w:tc>
      </w:tr>
      <w:tr w:rsidR="00CD55B3" w:rsidRPr="00E42377" w14:paraId="2A5C3362" w14:textId="77777777" w:rsidTr="001F504B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  <w:hideMark/>
          </w:tcPr>
          <w:p w14:paraId="73B7DA1B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bookmarkStart w:id="3" w:name="_Hlk87711712"/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2107" w:type="pct"/>
            <w:shd w:val="clear" w:color="auto" w:fill="8DB3E2" w:themeFill="text2" w:themeFillTint="66"/>
            <w:vAlign w:val="center"/>
            <w:hideMark/>
          </w:tcPr>
          <w:p w14:paraId="6F374474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3649FFB7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1.704.880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4FE3E6C5" w14:textId="77777777" w:rsidR="00CD55B3" w:rsidRPr="00451462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C24FD2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295.421,58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  <w:hideMark/>
          </w:tcPr>
          <w:p w14:paraId="751904DB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C24FD2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607.380,00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  <w:hideMark/>
          </w:tcPr>
          <w:p w14:paraId="5BDC37F9" w14:textId="77777777" w:rsidR="00CD55B3" w:rsidRPr="00451462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C24FD2"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329.080,00</w:t>
            </w:r>
          </w:p>
        </w:tc>
      </w:tr>
      <w:bookmarkEnd w:id="3"/>
      <w:tr w:rsidR="00CD55B3" w:rsidRPr="00E42377" w14:paraId="3484AE2F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  <w:hideMark/>
          </w:tcPr>
          <w:p w14:paraId="2E2C0DF8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81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6B20B4FD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Primljeni povrati glavnica danih zajmova i depozita</w:t>
            </w:r>
          </w:p>
        </w:tc>
        <w:tc>
          <w:tcPr>
            <w:tcW w:w="600" w:type="pct"/>
          </w:tcPr>
          <w:p w14:paraId="60CC3C34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562D32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1.704.880</w:t>
            </w:r>
          </w:p>
        </w:tc>
        <w:tc>
          <w:tcPr>
            <w:tcW w:w="619" w:type="pct"/>
            <w:gridSpan w:val="2"/>
          </w:tcPr>
          <w:p w14:paraId="162E7F1E" w14:textId="77777777" w:rsidR="00CD55B3" w:rsidRPr="00451462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295.421,58</w:t>
            </w:r>
          </w:p>
        </w:tc>
        <w:tc>
          <w:tcPr>
            <w:tcW w:w="697" w:type="pct"/>
            <w:gridSpan w:val="2"/>
            <w:shd w:val="clear" w:color="auto" w:fill="auto"/>
            <w:hideMark/>
          </w:tcPr>
          <w:p w14:paraId="10CF6EC7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C24FD2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607.380,00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0D989B6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329.080,00</w:t>
            </w:r>
          </w:p>
        </w:tc>
      </w:tr>
      <w:tr w:rsidR="00CD55B3" w:rsidRPr="00E42377" w14:paraId="6182E60F" w14:textId="77777777" w:rsidTr="001F504B">
        <w:trPr>
          <w:trHeight w:val="221"/>
        </w:trPr>
        <w:tc>
          <w:tcPr>
            <w:tcW w:w="225" w:type="pct"/>
            <w:shd w:val="clear" w:color="auto" w:fill="auto"/>
            <w:noWrap/>
            <w:vAlign w:val="bottom"/>
            <w:hideMark/>
          </w:tcPr>
          <w:p w14:paraId="611B1B36" w14:textId="77777777" w:rsidR="00CD55B3" w:rsidRPr="00E42377" w:rsidRDefault="00CD55B3" w:rsidP="001F504B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818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67EFDFA9" w14:textId="77777777" w:rsidR="00CD55B3" w:rsidRPr="00E42377" w:rsidRDefault="00CD55B3" w:rsidP="001F504B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 xml:space="preserve">Primici od povrata depozita i </w:t>
            </w:r>
            <w:proofErr w:type="spellStart"/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jamčevnih</w:t>
            </w:r>
            <w:proofErr w:type="spellEnd"/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 xml:space="preserve"> pologa</w:t>
            </w:r>
          </w:p>
        </w:tc>
        <w:tc>
          <w:tcPr>
            <w:tcW w:w="600" w:type="pct"/>
          </w:tcPr>
          <w:p w14:paraId="78645445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sz w:val="20"/>
                <w:szCs w:val="20"/>
                <w:lang w:val="hr-HR"/>
              </w:rPr>
            </w:pPr>
            <w:r w:rsidRPr="00562D32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1.704.880</w:t>
            </w:r>
          </w:p>
        </w:tc>
        <w:tc>
          <w:tcPr>
            <w:tcW w:w="619" w:type="pct"/>
            <w:gridSpan w:val="2"/>
          </w:tcPr>
          <w:p w14:paraId="3C01E143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 w:rsidRPr="00C24FD2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295.421,58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2F2BAD78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 w:rsidRPr="00C24FD2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607.380,00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39AA9E2D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 w:rsidRPr="00C24FD2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329.080,00</w:t>
            </w:r>
          </w:p>
        </w:tc>
      </w:tr>
    </w:tbl>
    <w:p w14:paraId="0C61848C" w14:textId="77777777" w:rsidR="002E629C" w:rsidRDefault="002E629C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00E5B713" w14:textId="177C385E" w:rsidR="002E629C" w:rsidRDefault="002E629C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72870F8F" w14:textId="77777777" w:rsidR="002E629C" w:rsidRPr="002E629C" w:rsidRDefault="002E629C" w:rsidP="002E629C">
      <w:pPr>
        <w:rPr>
          <w:lang w:val="hr-HR"/>
        </w:rPr>
      </w:pPr>
    </w:p>
    <w:p w14:paraId="62015536" w14:textId="77777777" w:rsidR="002E629C" w:rsidRPr="002E629C" w:rsidRDefault="002E629C" w:rsidP="002E629C">
      <w:pPr>
        <w:rPr>
          <w:lang w:val="hr-HR"/>
        </w:rPr>
      </w:pPr>
    </w:p>
    <w:p w14:paraId="349BFDEE" w14:textId="7C39ECF4" w:rsidR="002E629C" w:rsidRDefault="002E629C" w:rsidP="002E629C">
      <w:pPr>
        <w:rPr>
          <w:bCs/>
          <w:iCs/>
          <w:lang w:val="hr-HR"/>
        </w:rPr>
      </w:pPr>
    </w:p>
    <w:p w14:paraId="55443F48" w14:textId="4ABFCAC6" w:rsidR="002E629C" w:rsidRDefault="002E629C" w:rsidP="002E629C">
      <w:pPr>
        <w:rPr>
          <w:bCs/>
          <w:iCs/>
          <w:lang w:val="hr-HR"/>
        </w:rPr>
      </w:pPr>
    </w:p>
    <w:p w14:paraId="3AD2DE67" w14:textId="7079EA75" w:rsidR="002E629C" w:rsidRDefault="002E629C" w:rsidP="002E629C">
      <w:pPr>
        <w:rPr>
          <w:bCs/>
          <w:iCs/>
          <w:lang w:val="hr-HR"/>
        </w:rPr>
      </w:pPr>
    </w:p>
    <w:p w14:paraId="102478BA" w14:textId="28BB1E3F" w:rsidR="002E629C" w:rsidRDefault="002E629C" w:rsidP="002E629C">
      <w:pPr>
        <w:rPr>
          <w:bCs/>
          <w:iCs/>
          <w:lang w:val="hr-HR"/>
        </w:rPr>
      </w:pPr>
    </w:p>
    <w:p w14:paraId="49A02D76" w14:textId="77777777" w:rsidR="00E92BBD" w:rsidRDefault="00E92BBD" w:rsidP="002E629C">
      <w:pPr>
        <w:rPr>
          <w:bCs/>
          <w:iCs/>
          <w:lang w:val="hr-HR"/>
        </w:rPr>
      </w:pPr>
    </w:p>
    <w:p w14:paraId="379D48F5" w14:textId="77777777" w:rsidR="00E44551" w:rsidRDefault="00E44551" w:rsidP="002E629C">
      <w:pPr>
        <w:rPr>
          <w:bCs/>
          <w:iCs/>
          <w:lang w:val="hr-HR"/>
        </w:rPr>
      </w:pPr>
    </w:p>
    <w:p w14:paraId="32DCA3DA" w14:textId="15FD9A49" w:rsidR="002E629C" w:rsidRPr="00A10BFC" w:rsidRDefault="00A10BFC" w:rsidP="00A10BF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  <w:lang w:val="hr-HR"/>
        </w:rPr>
      </w:pPr>
      <w:r>
        <w:rPr>
          <w:b/>
          <w:bCs/>
          <w:iCs/>
          <w:sz w:val="28"/>
          <w:szCs w:val="28"/>
          <w:lang w:val="hr-HR"/>
        </w:rPr>
        <w:t>POSEBNI DIO</w:t>
      </w:r>
    </w:p>
    <w:p w14:paraId="07AD0DAD" w14:textId="77777777" w:rsidR="00323F6A" w:rsidRPr="00E42377" w:rsidRDefault="00323F6A" w:rsidP="00323F6A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>Članak 2</w:t>
      </w:r>
    </w:p>
    <w:p w14:paraId="14D8100C" w14:textId="77777777" w:rsidR="00B62F00" w:rsidRDefault="00B62F00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4F25B0D" w14:textId="1CEB6A84" w:rsidR="00323F6A" w:rsidRDefault="00323F6A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  <w:r w:rsidRPr="00E42377">
        <w:rPr>
          <w:bCs/>
          <w:iCs/>
          <w:lang w:val="hr-HR"/>
        </w:rPr>
        <w:t>Rashodi Proračuna za 20</w:t>
      </w:r>
      <w:r w:rsidR="005A451C" w:rsidRPr="00E42377">
        <w:rPr>
          <w:bCs/>
          <w:iCs/>
          <w:lang w:val="hr-HR"/>
        </w:rPr>
        <w:t>2</w:t>
      </w:r>
      <w:r w:rsidR="00955586">
        <w:rPr>
          <w:bCs/>
          <w:iCs/>
          <w:lang w:val="hr-HR"/>
        </w:rPr>
        <w:t>4</w:t>
      </w:r>
      <w:r w:rsidRPr="00E42377">
        <w:rPr>
          <w:bCs/>
          <w:iCs/>
          <w:lang w:val="hr-HR"/>
        </w:rPr>
        <w:t>. godinu iskazani prema organizacijskoj, programskoj, ekonomskoj, funkcijskoj  klasifikaciji,</w:t>
      </w:r>
      <w:r w:rsidRPr="00E42377">
        <w:rPr>
          <w:lang w:val="hr-HR"/>
        </w:rPr>
        <w:t xml:space="preserve"> i izvorima financiranja </w:t>
      </w:r>
      <w:r w:rsidRPr="00E42377">
        <w:rPr>
          <w:bCs/>
          <w:iCs/>
          <w:lang w:val="hr-HR"/>
        </w:rPr>
        <w:t>raspoređuju se po nositeljima i korisnicima u Posebnom dijelu Proračuna kako slijedi:</w:t>
      </w:r>
    </w:p>
    <w:p w14:paraId="3C82C8A5" w14:textId="77777777" w:rsidR="001332A9" w:rsidRDefault="001332A9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40B9C403" w14:textId="77777777" w:rsidR="001332A9" w:rsidRDefault="001332A9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tbl>
      <w:tblPr>
        <w:tblW w:w="158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142"/>
        <w:gridCol w:w="566"/>
        <w:gridCol w:w="68"/>
        <w:gridCol w:w="217"/>
        <w:gridCol w:w="559"/>
        <w:gridCol w:w="7"/>
        <w:gridCol w:w="7229"/>
        <w:gridCol w:w="993"/>
        <w:gridCol w:w="142"/>
        <w:gridCol w:w="283"/>
        <w:gridCol w:w="738"/>
        <w:gridCol w:w="233"/>
        <w:gridCol w:w="164"/>
        <w:gridCol w:w="890"/>
        <w:gridCol w:w="362"/>
        <w:gridCol w:w="55"/>
        <w:gridCol w:w="870"/>
        <w:gridCol w:w="451"/>
        <w:gridCol w:w="206"/>
        <w:gridCol w:w="1091"/>
        <w:gridCol w:w="199"/>
      </w:tblGrid>
      <w:tr w:rsidR="001332A9" w:rsidRPr="000533CD" w14:paraId="0F8D72F5" w14:textId="77777777" w:rsidTr="001332A9">
        <w:trPr>
          <w:gridAfter w:val="4"/>
          <w:wAfter w:w="1947" w:type="dxa"/>
          <w:trHeight w:val="240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C1E6" w14:textId="77777777" w:rsidR="001332A9" w:rsidRPr="000533CD" w:rsidRDefault="001332A9" w:rsidP="003F2728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sz w:val="20"/>
                <w:szCs w:val="20"/>
                <w:lang w:val="hr-HR" w:eastAsia="hr-HR"/>
              </w:rPr>
              <w:t>RASHODI/IZDATCI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7788" w14:textId="77777777" w:rsidR="001332A9" w:rsidRPr="000533CD" w:rsidRDefault="001332A9" w:rsidP="003F2728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9A97" w14:textId="77777777" w:rsidR="001332A9" w:rsidRPr="000533CD" w:rsidRDefault="001332A9" w:rsidP="003F2728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41D6" w14:textId="77777777" w:rsidR="001332A9" w:rsidRPr="000533CD" w:rsidRDefault="001332A9" w:rsidP="003F2728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88450" w14:textId="77777777" w:rsidR="001332A9" w:rsidRPr="000533CD" w:rsidRDefault="001332A9" w:rsidP="003F2728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8B52C" w14:textId="77777777" w:rsidR="001332A9" w:rsidRPr="000533CD" w:rsidRDefault="001332A9" w:rsidP="003F2728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3717" w14:textId="77777777" w:rsidR="001332A9" w:rsidRPr="000533CD" w:rsidRDefault="001332A9" w:rsidP="003F2728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</w:tr>
      <w:tr w:rsidR="001332A9" w:rsidRPr="000533CD" w14:paraId="7D6B8A10" w14:textId="77777777" w:rsidTr="001332A9">
        <w:trPr>
          <w:gridAfter w:val="1"/>
          <w:wAfter w:w="199" w:type="dxa"/>
          <w:trHeight w:val="66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FCF63" w14:textId="77777777" w:rsidR="001332A9" w:rsidRPr="000533CD" w:rsidRDefault="001332A9" w:rsidP="003F272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3CD27" w14:textId="77777777" w:rsidR="001332A9" w:rsidRPr="000533CD" w:rsidRDefault="001332A9" w:rsidP="003F2728">
            <w:pPr>
              <w:ind w:right="-110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SKUPINA</w:t>
            </w: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20FE1" w14:textId="77777777" w:rsidR="001332A9" w:rsidRPr="000533CD" w:rsidRDefault="001332A9" w:rsidP="003F2728">
            <w:pPr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82C37" w14:textId="77777777" w:rsidR="001332A9" w:rsidRPr="000533CD" w:rsidRDefault="001332A9" w:rsidP="003F27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PRORAČUN 2023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5261A" w14:textId="77777777" w:rsidR="001332A9" w:rsidRPr="000533CD" w:rsidRDefault="001332A9" w:rsidP="003F27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PRORAČUN</w:t>
            </w: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2024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3917B" w14:textId="77777777" w:rsidR="001332A9" w:rsidRPr="000533CD" w:rsidRDefault="001332A9" w:rsidP="003F27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2025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0F3F3" w14:textId="77777777" w:rsidR="001332A9" w:rsidRPr="000533CD" w:rsidRDefault="001332A9" w:rsidP="003F27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2026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</w:tr>
      <w:tr w:rsidR="001332A9" w:rsidRPr="001332A9" w14:paraId="3749B02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39FB41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0CBBB2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2D8A6B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URED NAČELNIKA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C8137A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88.886,31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441510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8CE811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53B196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1332A9" w:rsidRPr="001332A9" w14:paraId="0AF399C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0F6883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00101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CD3FEC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BE28BA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URED NAČELNIKA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D14AB0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88.886,31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CF24D8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69575B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ED2758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1332A9" w:rsidRPr="001332A9" w14:paraId="4423650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5F4A0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A897A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CE038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6B596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88.886,31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51465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05535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5B56F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1332A9" w:rsidRPr="001332A9" w14:paraId="7F3F05B3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E83CC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A1000 01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6F5ED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 : Financiranje redovne djelatnosti UO Načelnika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96A78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88.886,31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A5300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300B1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25E13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1332A9" w:rsidRPr="001332A9" w14:paraId="4226140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CA9FBC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5EC4F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B61CA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75267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88.886,31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51F5E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547C9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3D3BA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1332A9" w:rsidRPr="001332A9" w14:paraId="309609E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DAA69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3586C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7F982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FC8AD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88.886,31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6784B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5B512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45E60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1332A9" w:rsidRPr="001332A9" w14:paraId="7590611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06FD0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26813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36E16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71495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43.267,64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1849A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CF6A6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31FBA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41.000,00</w:t>
            </w:r>
          </w:p>
        </w:tc>
      </w:tr>
      <w:tr w:rsidR="001332A9" w:rsidRPr="001332A9" w14:paraId="35AA16F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EA131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EA327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9FD1E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448BB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12.437,97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B0F4E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17.650,00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AFFA5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17.650,00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23ACD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17.650,00</w:t>
            </w:r>
          </w:p>
        </w:tc>
      </w:tr>
      <w:tr w:rsidR="001332A9" w:rsidRPr="001332A9" w14:paraId="5B63BF1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3F9BF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4ECF8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7B8F5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36994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33.180,70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A40E9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1A69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F14EA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332A9" w:rsidRPr="001332A9" w14:paraId="4C2825A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CA71F2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262619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347FDC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OPĆINSKO VIJEĆE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BDFC68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71.706,95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2CF55C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1B548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E862AE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77.500,00</w:t>
            </w:r>
          </w:p>
        </w:tc>
      </w:tr>
      <w:tr w:rsidR="001332A9" w:rsidRPr="001332A9" w14:paraId="240B787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B3838D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00201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6E8DE5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EA70B8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OPĆINSKO VIJEĆE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971CBA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71.706,95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D9E937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78B44B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77.500,00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4D82B8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77.500,00</w:t>
            </w:r>
          </w:p>
        </w:tc>
      </w:tr>
      <w:tr w:rsidR="001332A9" w:rsidRPr="001332A9" w14:paraId="0395417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1A637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A67E44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ADCCF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9CF0B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71.706,95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BCBF70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D15B5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77.500,00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AA7D4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77.500,00</w:t>
            </w:r>
          </w:p>
        </w:tc>
      </w:tr>
      <w:tr w:rsidR="001332A9" w:rsidRPr="001332A9" w14:paraId="3989C57F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FC89C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3E8F8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rada Općinskog vijeća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16028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35.208,18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6B6A2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D5339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28E94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1332A9" w:rsidRPr="001332A9" w14:paraId="014744B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6A734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D531F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EB0CE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59CB0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35.208,18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CEF41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75B5F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D1DE3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1332A9" w:rsidRPr="001332A9" w14:paraId="0E3437B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230A2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4A2BF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84F92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58517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35.208,18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3AD63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395EE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FA8E5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1332A9" w:rsidRPr="001332A9" w14:paraId="7978163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4933B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5249C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E51DA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AF58A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35.208,18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E8AF2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940C4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A8314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1332A9" w:rsidRPr="001332A9" w14:paraId="69DAD33B" w14:textId="77777777" w:rsidTr="001332A9">
        <w:trPr>
          <w:gridBefore w:val="1"/>
          <w:wBefore w:w="426" w:type="dxa"/>
          <w:trHeight w:val="33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F8FB2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C7991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političkih stranaka zastupljenih u Općinskom vijeću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48578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539A6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57797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DC3B4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</w:tr>
      <w:tr w:rsidR="001332A9" w:rsidRPr="001332A9" w14:paraId="45F662E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E6605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0BB92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CA360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877AD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8165B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274FC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2C77A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</w:tr>
      <w:tr w:rsidR="001332A9" w:rsidRPr="001332A9" w14:paraId="08CC600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3C5AA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6DCD3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66CB6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9674D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0CC24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851E4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E6EAD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</w:tr>
      <w:tr w:rsidR="001332A9" w:rsidRPr="001332A9" w14:paraId="12D1B60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8B997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8B76A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5380E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57D3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2118D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C1FD7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259BA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</w:tr>
      <w:tr w:rsidR="001332A9" w:rsidRPr="001332A9" w14:paraId="5664D339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4017C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DC4DA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Gradovi prijatelji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9D151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3F812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4B896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E3ACB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1332A9" w:rsidRPr="001332A9" w14:paraId="05F1EB6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08122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ACC02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54605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0026E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E1EC6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36D58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AA790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1332A9" w:rsidRPr="001332A9" w14:paraId="2742B0F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E134A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AE8B4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2289C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0D30E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18CC1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5A044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62F44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1332A9" w:rsidRPr="001332A9" w14:paraId="768FF19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8A9C8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4D22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1EB82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8A5F9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81238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3BDFF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0AA60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1332A9" w:rsidRPr="001332A9" w14:paraId="7FC61FDD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35388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C57B5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Mjesni 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odborI</w:t>
            </w:r>
            <w:proofErr w:type="spellEnd"/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188CB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DB54D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51DE4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C9D39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332A9" w:rsidRPr="001332A9" w14:paraId="5E655A2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C1585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6719F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5ACA4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0FDC1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7A47D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2246B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FFA4E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332A9" w:rsidRPr="001332A9" w14:paraId="1A225AC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4155A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7FB15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C285E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97FD8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E5311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999A5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C405E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332A9" w:rsidRPr="001332A9" w14:paraId="2C91286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01A6E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6C327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D8336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38D72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A2B9B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BCD8A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CFAF9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332A9" w:rsidRPr="001332A9" w14:paraId="6240245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7C7AF6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2A05D1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D209D1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 UPRAVNI ODJEL ZA PRAVNE POSLOVE I STRATEŠKO UPRAVLJANJE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738463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800.228,69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4EB70C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801.440,00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753056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831.440,00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02D20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831.440,00</w:t>
            </w:r>
          </w:p>
        </w:tc>
      </w:tr>
      <w:tr w:rsidR="001332A9" w:rsidRPr="001332A9" w14:paraId="2D27C68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1BE261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00301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6C84B6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D024CD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PRAVNE POSLOVE I STRATEŠKO UPRAVLJANJE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C4BCA4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800.228,69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29CA3C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801.440,00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44890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831.440,00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64982B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831.440,00</w:t>
            </w:r>
          </w:p>
        </w:tc>
      </w:tr>
      <w:tr w:rsidR="001332A9" w:rsidRPr="001332A9" w14:paraId="63E5512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F6DC3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6A066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484D65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1FAC8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800.228,69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2AD0F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801.440,00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9EB15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831.440,00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06909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831.440,00</w:t>
            </w:r>
          </w:p>
        </w:tc>
      </w:tr>
      <w:tr w:rsidR="001332A9" w:rsidRPr="001332A9" w14:paraId="44F2424E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67721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9131F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37184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418.658,06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AAB77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4CB34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87B33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</w:tr>
      <w:tr w:rsidR="001332A9" w:rsidRPr="001332A9" w14:paraId="6C44F96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E68C9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AB758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C8E0F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6B0F2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418.658,06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328BC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28A44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3271D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</w:tr>
      <w:tr w:rsidR="001332A9" w:rsidRPr="001332A9" w14:paraId="629D6EE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1FB64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A0E34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3B6BE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A6C88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418.658,06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68579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F5D0B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54DC8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</w:tr>
      <w:tr w:rsidR="001332A9" w:rsidRPr="001332A9" w14:paraId="4CCEC1C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371EC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264FD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D0B9A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6FF6E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74.671,05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5F68E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116.200,00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47A10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116.200,00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FA990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116.200,00</w:t>
            </w:r>
          </w:p>
        </w:tc>
      </w:tr>
      <w:tr w:rsidR="001332A9" w:rsidRPr="001332A9" w14:paraId="3637E15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EC7D0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84726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2651A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176B4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111.449,03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7A728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89988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ADAFA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98.500,00</w:t>
            </w:r>
          </w:p>
        </w:tc>
      </w:tr>
      <w:tr w:rsidR="001332A9" w:rsidRPr="001332A9" w14:paraId="517E33A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CBF03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CB374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13D18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5A90E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229.883,52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7675E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9582A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2C7F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</w:tr>
      <w:tr w:rsidR="001332A9" w:rsidRPr="001332A9" w14:paraId="477A953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90A79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79695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CA748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E58E6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93D43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41059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7F5F6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332A9" w:rsidRPr="001332A9" w14:paraId="74861B1C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BBCA7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K3000 02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53A68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Nabava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294F3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340.426,56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D071F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B0856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FB234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</w:tr>
      <w:tr w:rsidR="001332A9" w:rsidRPr="001332A9" w14:paraId="36F1189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CAEEB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34D1E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65423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AA13C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340.426,56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C5339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5955E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41CA0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</w:tr>
      <w:tr w:rsidR="001332A9" w:rsidRPr="001332A9" w14:paraId="38BF8A3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49E1E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6B39F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9BD90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E0C32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340.426,56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AB3CB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45A70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2684C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</w:tr>
      <w:tr w:rsidR="001332A9" w:rsidRPr="001332A9" w14:paraId="7630C9A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2689B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7D351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6AEC3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F464D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265.445,62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CDD07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C44EA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0B726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1332A9" w:rsidRPr="001332A9" w14:paraId="3CD35F3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B5362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EA72D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43AC2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30CB5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64.980,95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F644D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BAC8D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B79B7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65.500,00</w:t>
            </w:r>
          </w:p>
        </w:tc>
      </w:tr>
      <w:tr w:rsidR="001332A9" w:rsidRPr="001332A9" w14:paraId="4EAFBA5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F8DC6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2B6AC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AD141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E8732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95520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78308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EB8DE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332A9" w:rsidRPr="001332A9" w14:paraId="00BC017B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8CC39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38813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Obnova zemljišne knjige Gornja Podstrana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C1595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27.208,18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8D5A5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CE84A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C2FEF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</w:tr>
      <w:tr w:rsidR="001332A9" w:rsidRPr="001332A9" w14:paraId="2623E1E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91848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97104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577CA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561A3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27.208,18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387A0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AD8A4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9D85D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</w:tr>
      <w:tr w:rsidR="001332A9" w:rsidRPr="001332A9" w14:paraId="7EEB1D7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9ECE4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5C9F2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52BD2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2FC30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27.208,18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58F9E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779BB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9C6C1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</w:tr>
      <w:tr w:rsidR="001332A9" w:rsidRPr="001332A9" w14:paraId="53E2DC3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D7700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F061F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EB939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8973D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2E38E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4AC7E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E46AD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</w:tr>
      <w:tr w:rsidR="001332A9" w:rsidRPr="001332A9" w14:paraId="1BA4478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2739B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DD23F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B9FE2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57A07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17.917,58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B4CD8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3D800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6520B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</w:tr>
      <w:tr w:rsidR="001332A9" w:rsidRPr="001332A9" w14:paraId="514587C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8599B8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0AF6EF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53FED8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 UPRAVNI ODJEL ZA PRORAČUN I FINANCIJE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088A6D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688.417,90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574780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876.350,00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02E08D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885.950,00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16584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885.650,00</w:t>
            </w:r>
          </w:p>
        </w:tc>
      </w:tr>
      <w:tr w:rsidR="001332A9" w:rsidRPr="001332A9" w14:paraId="3B0B3A3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376489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00401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CC054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CF42E3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PRORAČUN I FINANCIJE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9DEC9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326.117,90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B8B2DF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291.050,00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56EF19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291.050,00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C35E7D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290.750,00</w:t>
            </w:r>
          </w:p>
        </w:tc>
      </w:tr>
      <w:tr w:rsidR="001332A9" w:rsidRPr="001332A9" w14:paraId="1BA2E36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C4D1B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ADC70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B9FD5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38AE5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326.117,90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84771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291.050,00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D8F45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291.050,00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22585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290.750,00</w:t>
            </w:r>
          </w:p>
        </w:tc>
      </w:tr>
      <w:tr w:rsidR="001332A9" w:rsidRPr="001332A9" w14:paraId="13B1EE2E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FBE22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1FE14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1295A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78.724,77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04AD6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7CC14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1076F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</w:tr>
      <w:tr w:rsidR="001332A9" w:rsidRPr="001332A9" w14:paraId="0A2EC4E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0B109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8814F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995D1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94090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78.724,77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2B1FB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6BB47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F66FD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</w:tr>
      <w:tr w:rsidR="001332A9" w:rsidRPr="001332A9" w14:paraId="0859B10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43EA2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7A515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8ECCB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509A7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78.724,77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41B49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BA195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6BDF1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</w:tr>
      <w:tr w:rsidR="001332A9" w:rsidRPr="001332A9" w14:paraId="2964F9F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E8F3D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DF75F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BC7BA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E1E04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77.061,16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671AB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77.200,00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93E3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77.200,00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54AC5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77.200,00</w:t>
            </w:r>
          </w:p>
        </w:tc>
      </w:tr>
      <w:tr w:rsidR="001332A9" w:rsidRPr="001332A9" w14:paraId="2AA79B2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D59F7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5471C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9E94D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C023D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1.663,61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2BC9F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1.850,00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F0FBC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1.850,00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F7C75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1.850,00</w:t>
            </w:r>
          </w:p>
        </w:tc>
      </w:tr>
      <w:tr w:rsidR="001332A9" w:rsidRPr="001332A9" w14:paraId="5DD82A20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F8816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8A5DB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Zajednički rashodi tekućeg poslovanja upravnih odjela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3ACA0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247.393,12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65CC2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56E5C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BA519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211.700,00</w:t>
            </w:r>
          </w:p>
        </w:tc>
      </w:tr>
      <w:tr w:rsidR="001332A9" w:rsidRPr="001332A9" w14:paraId="4D76DAF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D4F08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1C624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F2311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51A17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247.393,12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ABF38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A941D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50311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211.700,00</w:t>
            </w:r>
          </w:p>
        </w:tc>
      </w:tr>
      <w:tr w:rsidR="001332A9" w:rsidRPr="001332A9" w14:paraId="1F0E88F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BB6A1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E1897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643C6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6F0E6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247.393,12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8808A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C04E2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82E81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211.700,00</w:t>
            </w:r>
          </w:p>
        </w:tc>
      </w:tr>
      <w:tr w:rsidR="001332A9" w:rsidRPr="001332A9" w14:paraId="1033823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A8E73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BBC68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BC322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DD382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217.410,35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C0AB5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194.500,00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7989F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194.500,00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AE710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194.200,00</w:t>
            </w:r>
          </w:p>
        </w:tc>
      </w:tr>
      <w:tr w:rsidR="001332A9" w:rsidRPr="001332A9" w14:paraId="7BE2ABD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691C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E3626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43AEF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9CED0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29.982,78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3D626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F5133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EEE56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1332A9" w:rsidRPr="001332A9" w14:paraId="603025E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1E83BE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00402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54DE8E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8ECA84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JAVNA VATROGASNA POSTROJBA OPĆINE PODSTRANA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A018FA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362.300,00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8EFDE6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585.300,00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5347AE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594.900,00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95C979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594.900,00</w:t>
            </w:r>
          </w:p>
        </w:tc>
      </w:tr>
      <w:tr w:rsidR="001332A9" w:rsidRPr="001332A9" w14:paraId="561F064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22A71D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50944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215E596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B9816B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PRORAČUNSKI KORISNIK: JAVNA VATROGASNA POSTROJBA OPĆINE PODSTRANA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4AC259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362.300,00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B2B447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585.300,00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5EF241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594.900,00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2482E2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594.900,00</w:t>
            </w:r>
          </w:p>
        </w:tc>
      </w:tr>
      <w:tr w:rsidR="001332A9" w:rsidRPr="001332A9" w14:paraId="593D859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418F1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11C2EE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13FB54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ORGANIZIRANJE I PROVOĐENJE ZAŠTITE I SPAŠAVANJA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41A0D1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362.300,00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75940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585.300,00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BBF5D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594.900,00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D2FCE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594.900,00</w:t>
            </w:r>
          </w:p>
        </w:tc>
      </w:tr>
      <w:tr w:rsidR="001332A9" w:rsidRPr="001332A9" w14:paraId="143AD5EF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3B7B0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A4002 01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EB8EB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CECDC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362.300,00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B9608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585.300,00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B9D47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594.900,00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18D1F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594.900,00</w:t>
            </w:r>
          </w:p>
        </w:tc>
      </w:tr>
      <w:tr w:rsidR="001332A9" w:rsidRPr="001332A9" w14:paraId="6AC9F23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2DDAF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35DE7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A55A6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Prihodi za decentralizirane funkcije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8AA21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249.850,00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7A64A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255.300,00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73B84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257.100,00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71475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257.100,00</w:t>
            </w:r>
          </w:p>
        </w:tc>
      </w:tr>
      <w:tr w:rsidR="001332A9" w:rsidRPr="001332A9" w14:paraId="74EF464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5E61F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E0A13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94763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881CA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249.850,00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BF47F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255.300,00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38DC2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257.100,00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6161B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257.100,00</w:t>
            </w:r>
          </w:p>
        </w:tc>
      </w:tr>
      <w:tr w:rsidR="001332A9" w:rsidRPr="001332A9" w14:paraId="6C92391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6821F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EB79C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AB0BC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F088C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225.050,00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BBCA7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538D2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225.100,00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5ADB0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225.100,00</w:t>
            </w:r>
          </w:p>
        </w:tc>
      </w:tr>
      <w:tr w:rsidR="001332A9" w:rsidRPr="001332A9" w14:paraId="27A46F4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A5307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417B6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2727E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31D54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24.800,00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0E0C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4B60F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4ED6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32.000,00</w:t>
            </w:r>
          </w:p>
        </w:tc>
      </w:tr>
      <w:tr w:rsidR="001332A9" w:rsidRPr="001332A9" w14:paraId="107A1DA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4E793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8D458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B1A41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 - JVP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EFC6F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24.500,00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B1B53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811E7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7AE39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</w:tr>
      <w:tr w:rsidR="001332A9" w:rsidRPr="001332A9" w14:paraId="272FB81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D15F6C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46897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13EB1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2F14B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24.500,00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39B8B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71472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C4C11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</w:tr>
      <w:tr w:rsidR="001332A9" w:rsidRPr="001332A9" w14:paraId="61CE2D1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B5268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95399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CFBA5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2B622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24.500,00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61833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F43B1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8B8DD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</w:tr>
      <w:tr w:rsidR="001332A9" w:rsidRPr="001332A9" w14:paraId="4A19081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A4314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03745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94127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96252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1CC1B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40037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D297D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1332A9" w:rsidRPr="001332A9" w14:paraId="08792E9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5888D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8761B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BBDA9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BD55B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8DB07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B8539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6AEFA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1332A9" w:rsidRPr="001332A9" w14:paraId="1BD22F0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FE1F6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08124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B30A4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9E651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78.950,00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9903A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303.300,00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2D6DB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310.800,00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D6D5B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310.800,00</w:t>
            </w:r>
          </w:p>
        </w:tc>
      </w:tr>
      <w:tr w:rsidR="001332A9" w:rsidRPr="001332A9" w14:paraId="3946011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627C4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458E4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6EEF6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E377E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78.950,00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7B7A7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295.300,00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16CF4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302.800,00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1A7D4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302.800,00</w:t>
            </w:r>
          </w:p>
        </w:tc>
      </w:tr>
      <w:tr w:rsidR="001332A9" w:rsidRPr="001332A9" w14:paraId="295AA21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A57EF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04A3D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0F693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436C1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69.000,00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95BE4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B0F45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9BA6C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290.000,00</w:t>
            </w:r>
          </w:p>
        </w:tc>
      </w:tr>
      <w:tr w:rsidR="001332A9" w:rsidRPr="001332A9" w14:paraId="5597D3C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0A5A2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314A4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FC7EC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97ABF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9.150,00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AC4A1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A349C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51D65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</w:tr>
      <w:tr w:rsidR="001332A9" w:rsidRPr="001332A9" w14:paraId="20F41D6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A3E71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E50B8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F7763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7FA6F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34993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E76E6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8477C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800,00</w:t>
            </w:r>
          </w:p>
        </w:tc>
      </w:tr>
      <w:tr w:rsidR="001332A9" w:rsidRPr="001332A9" w14:paraId="5551C66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17F76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7A996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5C221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93C69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371FD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CC8A4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E1179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1332A9" w:rsidRPr="001332A9" w14:paraId="3A54F76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3453A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78F98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0A09D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2917E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86269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82975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F4B87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1332A9" w:rsidRPr="001332A9" w14:paraId="7B691C4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8A5272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2DAF39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4C05A4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UPRAVNI ODJEL ZA JAVNU NABAVU, GOSPODARSTVO, DRUŠTVENE DJELATNOSTI I EU FONDOVE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253140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2.458.052,30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834350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2.787.545,29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5E2F0E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2.486.900,00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E40EA4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2.486.900,00</w:t>
            </w:r>
          </w:p>
        </w:tc>
      </w:tr>
      <w:tr w:rsidR="001332A9" w:rsidRPr="001332A9" w14:paraId="0A30488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A6FCD1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00501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E1C468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DCA419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JAVNU NABAVU, GOSPODARSTVO, DRUŠTVENE DJELATNOSTI I EU FONDOVE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3443A6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2.458.052,30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81E38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2.787.545,29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103798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2.486.900,00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D5B148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2.486.900,00</w:t>
            </w:r>
          </w:p>
        </w:tc>
      </w:tr>
      <w:tr w:rsidR="001332A9" w:rsidRPr="001332A9" w14:paraId="2E474AF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95A4A3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DCFEA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22708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441B2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105.380,26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7D16EE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99147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3B33D6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144.300,00</w:t>
            </w:r>
          </w:p>
        </w:tc>
      </w:tr>
      <w:tr w:rsidR="001332A9" w:rsidRPr="001332A9" w14:paraId="1939FC05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14E36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653DF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07DCA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105.380,26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A85CD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FF699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82C7D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</w:tr>
      <w:tr w:rsidR="001332A9" w:rsidRPr="001332A9" w14:paraId="60AABDD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860F0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FB56C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3C3AC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A89AA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90.948,30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41939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C7038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DF5AC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</w:tr>
      <w:tr w:rsidR="001332A9" w:rsidRPr="001332A9" w14:paraId="61C21B4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40CAE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B3C5F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BDB53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DD28B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90.948,30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70B1F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67A89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BAB51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</w:tr>
      <w:tr w:rsidR="001332A9" w:rsidRPr="001332A9" w14:paraId="753845D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9D708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F2969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773C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713BC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71.670,32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0E709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025F5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11856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107.000,00</w:t>
            </w:r>
          </w:p>
        </w:tc>
      </w:tr>
      <w:tr w:rsidR="001332A9" w:rsidRPr="001332A9" w14:paraId="3316246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DC3F8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7CB56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47976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87BDE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19.277,99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8D3A4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2B80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5B8BF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37.300,00</w:t>
            </w:r>
          </w:p>
        </w:tc>
      </w:tr>
      <w:tr w:rsidR="001332A9" w:rsidRPr="001332A9" w14:paraId="5E20409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7F714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28FC1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5CF09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FINANCIRANJE PROJEKATA UDRUGA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8623F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132.722,81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1EE8E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DB252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2D9E5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1332A9" w:rsidRPr="001332A9" w14:paraId="6B06ACD4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5B3B5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00924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projekata od interesa za Općinu Podstrana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F8C2E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132.722,81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59DD3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88D49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50422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1332A9" w:rsidRPr="001332A9" w14:paraId="3889848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2138F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93A15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A079D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E152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132.722,81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2E44E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16DDB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44700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1332A9" w:rsidRPr="001332A9" w14:paraId="3BD320F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ADB7F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77237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97A66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D79D0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132.722,81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AFE6B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31E34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E8DF8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1332A9" w:rsidRPr="001332A9" w14:paraId="1A74B9B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A594E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4E399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03F6E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23B35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132.722,81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A4E08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45C06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F22B5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1332A9" w:rsidRPr="001332A9" w14:paraId="53907B0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055B8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96014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BC889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PROGRAM: PREDŠKOLSKI ODGOJ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BD1DE3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1.045.437,91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47463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5C930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823DF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1.184.000,00</w:t>
            </w:r>
          </w:p>
        </w:tc>
      </w:tr>
      <w:tr w:rsidR="001332A9" w:rsidRPr="001332A9" w14:paraId="7D881849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CBD7B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20499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Sufinanciranje dječjih vrtića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B4478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1.045.437,91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29C57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89268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97905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</w:tr>
      <w:tr w:rsidR="001332A9" w:rsidRPr="001332A9" w14:paraId="3A60880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18B6C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29FAA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813E7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455F6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1.045.437,91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68B60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1.072.000,00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1CD1D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AAD2A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</w:tr>
      <w:tr w:rsidR="001332A9" w:rsidRPr="001332A9" w14:paraId="06F9A22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4EED8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FA1E7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709D3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4B3D5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1.045.437,91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7D099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1.072.000,00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E6080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CDC48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</w:tr>
      <w:tr w:rsidR="001332A9" w:rsidRPr="001332A9" w14:paraId="331363D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CD5DB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92441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4B598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B5B5A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868.916,57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07ABC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892.000,00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56BE4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CE655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985.000,00</w:t>
            </w:r>
          </w:p>
        </w:tc>
      </w:tr>
      <w:tr w:rsidR="001332A9" w:rsidRPr="001332A9" w14:paraId="6CA0B42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EA451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6A35B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9C631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920B2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176.521,34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C2879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D7D31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C903B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</w:tr>
      <w:tr w:rsidR="001332A9" w:rsidRPr="001332A9" w14:paraId="07212F5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2C6E9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9AC39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4F192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84D32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A5148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11299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75D96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39BEE2A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20D81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0DF35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3E4C4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00B4D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26FB7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89F02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CDEB0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11EE684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0A22D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E6995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94C01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9B3D4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8B9D4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1E3CC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0EAC2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0E37C57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2309B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3790F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FC1EA8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JAVNE POTREBE U SPORTU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4F9C8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156.878,36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35C70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184.300,00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4224B4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174.300,00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2AE27C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174.300,00</w:t>
            </w:r>
          </w:p>
        </w:tc>
      </w:tr>
      <w:tr w:rsidR="001332A9" w:rsidRPr="001332A9" w14:paraId="465E7605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A05D5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28F7D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Zajednica sportskih udruga Općine Podstrana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B9DAC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152.631,23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0A3FE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41A12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D0767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1332A9" w:rsidRPr="001332A9" w14:paraId="41499DC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E28B2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00981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D7135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0E46A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152.631,23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BA32B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3958F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1719E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1332A9" w:rsidRPr="001332A9" w14:paraId="33EE3FF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3642F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B2F01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B27D3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79E05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152.631,23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9F9F0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A599D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0B274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1332A9" w:rsidRPr="001332A9" w14:paraId="354FACF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18753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54B4D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A96B7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8DE27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152.631,23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3605A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85009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4578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1332A9" w:rsidRPr="001332A9" w14:paraId="07C98915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AC4DE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35C1F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Najam dvorane OŠ "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Strožanac</w:t>
            </w:r>
            <w:proofErr w:type="spellEnd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"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5F87F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4.247,13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EFB0A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599B4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A63EF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1332A9" w:rsidRPr="001332A9" w14:paraId="653B590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9CA2D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1F5B5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FFAE2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CA26E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4.247,13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43401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FD7EF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FD1C8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1332A9" w:rsidRPr="001332A9" w14:paraId="697EF01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D43FE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A48E9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FFBCA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F5458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4.247,13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795DB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0CA06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734DD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1332A9" w:rsidRPr="001332A9" w14:paraId="415ED86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CCEC1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8AB48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3C8E6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2F42A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4.247,13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1D06F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A0123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E7601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1332A9" w:rsidRPr="001332A9" w14:paraId="653DCE2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9FE2A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C6B2E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FC91A9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POTPORA POLJOPRIVREDI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0EA75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20.000,01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36983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792C4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A4542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35.000,00</w:t>
            </w:r>
          </w:p>
        </w:tc>
      </w:tr>
      <w:tr w:rsidR="001332A9" w:rsidRPr="001332A9" w14:paraId="60000043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1BD5B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06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E3866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Subvencije poljoprivrednicima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A7257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54DAC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593BD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59683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</w:tr>
      <w:tr w:rsidR="001332A9" w:rsidRPr="001332A9" w14:paraId="752FE83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16F4F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C06D6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3252A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998DA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DC60B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763E0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36FA5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332A9" w:rsidRPr="001332A9" w14:paraId="1709B82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EBD6A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9599C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3874F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EB879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BD624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6F2C8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0B495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332A9" w:rsidRPr="001332A9" w14:paraId="0338FFE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EB257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09D40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18ADA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CA724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DDCE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5FCFE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B87A5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332A9" w:rsidRPr="001332A9" w14:paraId="24F29E9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BE9E5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CCF30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95383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prenamjenu poljoprivrednog zemljišta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99EDB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427D7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D4509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239AB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332A9" w:rsidRPr="001332A9" w14:paraId="1C6946C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B9FCD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25879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D0851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8FF67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EF04E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9BEB4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9F040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332A9" w:rsidRPr="001332A9" w14:paraId="4C94BFA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DCEF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883F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3B45B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EF478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9857D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6EC3B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576A4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332A9" w:rsidRPr="001332A9" w14:paraId="46E06F2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188EA0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C877E4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05A67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JAČANJE GOSPODARSTVA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74D116A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145EC74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130FDB1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6253E0B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7BA5B877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15C8A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K5000 07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BF3DB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Ulaganje u razvoj MSP-ova putem PC "Scala d.o.o."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2CAFF5F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757BE60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2D35CBC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03D774B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64DAD14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A2B69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42FD4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FC028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Donacije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FAF96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3E828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2C2B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94FDD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0CED5BF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9BAF9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AB238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7F6B7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4B1B4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63866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2916E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60A02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136015E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ED5A5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E6B2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51AAF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175EA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96FF9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D91DC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590D4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28B9CDD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35B52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72AE3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93790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SOCIJALNA SKRB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961E9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576.569,85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1F562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575.000,00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39CA5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537.000,00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14958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537.000,00</w:t>
            </w:r>
          </w:p>
        </w:tc>
      </w:tr>
      <w:tr w:rsidR="001332A9" w:rsidRPr="001332A9" w14:paraId="22910E5F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1A6A7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748F9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Novčane pomoći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B5344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527.429,23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A43A6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613F6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C974C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</w:tr>
      <w:tr w:rsidR="001332A9" w:rsidRPr="001332A9" w14:paraId="12C408C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E1087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0E685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C4AFE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9D583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527.429,23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4EC06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38EC2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C7F30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</w:tr>
      <w:tr w:rsidR="001332A9" w:rsidRPr="001332A9" w14:paraId="7FBAFC0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915FB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10888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536A1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1A625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527.429,23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3B062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681DF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52B37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</w:tr>
      <w:tr w:rsidR="001332A9" w:rsidRPr="001332A9" w14:paraId="1C95778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63435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1ACAF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E8B98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Naknade 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građ</w:t>
            </w:r>
            <w:proofErr w:type="spellEnd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i 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kućan</w:t>
            </w:r>
            <w:proofErr w:type="spellEnd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na temelju 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osig</w:t>
            </w:r>
            <w:proofErr w:type="spellEnd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 i druge naknade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221D1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425.795,54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C2421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F0EB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93E3C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437.000,00</w:t>
            </w:r>
          </w:p>
        </w:tc>
      </w:tr>
      <w:tr w:rsidR="001332A9" w:rsidRPr="001332A9" w14:paraId="7BF0CFA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18092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2502F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EF0AE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83207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101.633,69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80F3B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1334D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DFB35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332A9" w:rsidRPr="001332A9" w14:paraId="36820DD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5AFD7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BB19F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11BF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FA7B6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5D838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8C7D3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AD257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60FA0BE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597D8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2321D2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9645D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CIVILNOG DRUŠTVA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B01A0D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300.948,97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85502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382.000,00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61748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124.000,00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C1843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124.000,00</w:t>
            </w:r>
          </w:p>
        </w:tc>
      </w:tr>
      <w:tr w:rsidR="001332A9" w:rsidRPr="001332A9" w14:paraId="5EB6AAF5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A728D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09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D648A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Hrvatski Crveni križ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ADD70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200A5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3914F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E69A3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332A9" w:rsidRPr="001332A9" w14:paraId="594F440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C972B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41A32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1DDC0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8DC02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11249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B62DF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0F417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332A9" w:rsidRPr="001332A9" w14:paraId="7286BF6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F28E0C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404EB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18424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B2A2E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20A2A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0DC57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5DB21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332A9" w:rsidRPr="001332A9" w14:paraId="22D1B93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68B29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9860A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02AE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39AF2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01A54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EE93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B5BAF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332A9" w:rsidRPr="001332A9" w14:paraId="2597438D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BA807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10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E026A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zajednice-redovna djelatnost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36EBE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53.089,12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0572C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1054E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95958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332A9" w:rsidRPr="001332A9" w14:paraId="6A8DF9F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073F5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1561D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5662C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18033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38.755,06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406B8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69573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43653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685FD8B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BA770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7537A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E437D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3FF65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38.755,06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DA7EB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3CDA4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8F73F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0F08F45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08C69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B80D0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D80AB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2044D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38.755,06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FE63B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45563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09BF9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3086A36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931D6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DACF4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4FBE9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4FD69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14.334,06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E72A2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4817B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C206A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332A9" w:rsidRPr="001332A9" w14:paraId="70D5347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3701E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51CFB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99970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44170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14.334,06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342A7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4D85D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14AA4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332A9" w:rsidRPr="001332A9" w14:paraId="5C2D799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4AAEC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207B6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2C3B6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F07FD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14.334,06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66352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10DF6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58010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332A9" w:rsidRPr="001332A9" w14:paraId="56DD7017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9E40D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2B422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zajednice-uređenje sakralnih objekata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9623F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66.361,40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EEAB5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304F6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62BC4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332A9" w:rsidRPr="001332A9" w14:paraId="2F5492E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22181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022BB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54597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F8C40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66.228,68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8446C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9C607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2E829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332A9" w:rsidRPr="001332A9" w14:paraId="1EFFC18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947CA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7F49F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4487A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14069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66.228,68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4E16F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D4C7F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0849A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332A9" w:rsidRPr="001332A9" w14:paraId="4EE3E44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B110B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DB3C2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9FB82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68800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66.228,68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04F19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B55EF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09D2A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332A9" w:rsidRPr="001332A9" w14:paraId="52A5CCC0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B86E7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720DA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Gradska knjižnica Marko Marulić - Split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821A9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427CF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C15B2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D313A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1332A9" w:rsidRPr="001332A9" w14:paraId="0C3BC30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ACCED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88204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4B9F5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2C61A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AB6BD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53AEC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63F1A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1332A9" w:rsidRPr="001332A9" w14:paraId="49CB279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B5D86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3CDB9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C0EB6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14779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3C77C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CCEA2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3FF5F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1332A9" w:rsidRPr="001332A9" w14:paraId="3CFCF6C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BAD49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7ADE6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B1FF3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97A70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EED80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E1AE4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E8973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1332A9" w:rsidRPr="001332A9" w14:paraId="64CF3556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93671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E6A56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Donacije zdravstvenim ustanovama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65897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58450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5D9F8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BD9A2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1332A9" w:rsidRPr="001332A9" w14:paraId="1CEB515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3E116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2EDBE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B8442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1B6E6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671DE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F3725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76A02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1332A9" w:rsidRPr="001332A9" w14:paraId="4CE5D36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9B2CD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136E6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8001E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D688B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48718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37609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807A7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1332A9" w:rsidRPr="001332A9" w14:paraId="1C85B2B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EC29E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0F623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37009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1F68D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04F55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44D52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B2557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1332A9" w:rsidRPr="001332A9" w14:paraId="49A49F5B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24D87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910E7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- RESISTANCE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E5D9A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64.835,09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DAD7D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258.000,00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984C7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B9815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19F9D5E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8251C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892D5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C625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iz EU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50B8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51.695,53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4914A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258.000,00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AA7B9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538A9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5FA1FB7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8F8DC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3DFD9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36EAA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D46C6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51.695,53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5032C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258.000,00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B95B2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E9E27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35EB86A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3A122C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D8166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E1116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65E3B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DE36B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258.000,00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E572F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77D32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567FAA8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9ABE6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 1009 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87D65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371F7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PROGRAM: ORGANIZIRANJE I PROVOĐENJE ZAŠTITE I SPAŠAVANJA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BF4AA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114.141,62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9F155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126.800,00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02D1C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126.800,00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3655A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126.800,00</w:t>
            </w:r>
          </w:p>
        </w:tc>
      </w:tr>
      <w:tr w:rsidR="001332A9" w:rsidRPr="001332A9" w14:paraId="00CEBE36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BEAB6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C1960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Vatrogasna zajednica  Općine Podstrana - DVD Podstrana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A4A89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102.860,18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E5597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A505B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D80F4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1332A9" w:rsidRPr="001332A9" w14:paraId="6CFDA26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63BF9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B8B5A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1DB1C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3AFDC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102.860,18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264D2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69A74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443DA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1332A9" w:rsidRPr="001332A9" w14:paraId="30D7B27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4C43E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D6B45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D12DE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DA7E3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102.860,18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27C2A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63DBB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EF9FF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1332A9" w:rsidRPr="001332A9" w14:paraId="750B2CC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E5BC1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6D103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13529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53369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102.860,18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61A48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F2BEC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8E381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1332A9" w:rsidRPr="001332A9" w14:paraId="2481BD3C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C2181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16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2270E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HGSS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51821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F88D1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4971F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A4E21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1332A9" w:rsidRPr="001332A9" w14:paraId="655D07D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45617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B8F4B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8FD15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5EC27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55EF4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C906D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17C7E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1332A9" w:rsidRPr="001332A9" w14:paraId="7D9D018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02A6E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CA276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55ECA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6403B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EFE09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8801E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BD0CB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1332A9" w:rsidRPr="001332A9" w14:paraId="1433002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504AF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59DFE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EF241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476BC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FE95C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C496A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D4A10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1332A9" w:rsidRPr="001332A9" w14:paraId="55D6AD93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98E9B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17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4B421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Civilna zaštita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3324B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8.626,98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13D7A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44AF0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FA9FF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1332A9" w:rsidRPr="001332A9" w14:paraId="3A10DDE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CDD61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9BFE1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6F6CE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B0DA3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B1429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54219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99D1C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1332A9" w:rsidRPr="001332A9" w14:paraId="544B8A0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1D223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B635C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3ADE8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78A25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F8924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10DA9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9E345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1332A9" w:rsidRPr="001332A9" w14:paraId="6BD0F14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FB423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28856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93CF9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8E91D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7EC13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C77DC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31EFF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1332A9" w:rsidRPr="001332A9" w14:paraId="50B16F4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C4793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6A55B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66620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nefi</w:t>
            </w:r>
            <w:proofErr w:type="spellEnd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nancijske</w:t>
            </w:r>
            <w:proofErr w:type="spellEnd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CBBAF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3.318,07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D0DC2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9A2A5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564C1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1332A9" w:rsidRPr="001332A9" w14:paraId="3B34CA1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0628A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520A7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68973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7D782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3.318,07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77B32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1FEAF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85770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1332A9" w:rsidRPr="001332A9" w14:paraId="38AC36C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3ADB0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1016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F19E9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5DFB3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UNAPREĐENJE TURISTIČKE INFRASTRUKTURNE OSNOVE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7B708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99CFE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CA96D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0A2EA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1332A9" w:rsidRPr="001332A9" w14:paraId="6FEB9C9E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BD302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K5000 18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EE29A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Razvoj širokopojasne infrastrukture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C1D14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874FB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08EF2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CC5BD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1332A9" w:rsidRPr="001332A9" w14:paraId="3EA06DA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E459F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5C99F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8BAA3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0EDCA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32A04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3B4F1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56A90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1332A9" w:rsidRPr="001332A9" w14:paraId="78B359D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9B8B4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3A834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C9F60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F06B3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4D324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8EDB3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7B6A8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1332A9" w:rsidRPr="001332A9" w14:paraId="3E98739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8A9D5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C305C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C1376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762B6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6CCE5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35907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F4E8E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1332A9" w:rsidRPr="001332A9" w14:paraId="1B4F150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99710C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36B0FC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D49711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UPRAVNI ODJEL ZA PROSTORNO UREĐENJE, KOMUNALNE POSLOVE I ZAŠTITU OKOLIŠA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584DF8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7.080.264,75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5809CF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8.227.800,00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212252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9.644.100,00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D28A50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9.244.100,00</w:t>
            </w:r>
          </w:p>
        </w:tc>
      </w:tr>
      <w:tr w:rsidR="001332A9" w:rsidRPr="001332A9" w14:paraId="2C70CDA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3E62BD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00601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02BEA4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FC8BC6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PROSTORNO UREĐENJE, KOMUNALNE POSLOVE I ZAŠTITU OKOLIŠA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2F198C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7.080.264,75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98016A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8.094.100,00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1F24CF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9.644.100,00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77EF45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9.244.100,00</w:t>
            </w:r>
          </w:p>
        </w:tc>
      </w:tr>
      <w:tr w:rsidR="001332A9" w:rsidRPr="001332A9" w14:paraId="748BCCF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8E58E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F5A2E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787EF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ABC94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206.911,31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154C8A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A2D38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99137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192.100,00</w:t>
            </w:r>
          </w:p>
        </w:tc>
      </w:tr>
      <w:tr w:rsidR="001332A9" w:rsidRPr="001332A9" w14:paraId="11FCCFFE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444D4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561D6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B396A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206.911,31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A70CB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9E8B9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5DD68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</w:tr>
      <w:tr w:rsidR="001332A9" w:rsidRPr="001332A9" w14:paraId="5FBE357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C404E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FD3CF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1936F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5E43A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206.911,31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57022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FBCA1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83FE4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</w:tr>
      <w:tr w:rsidR="001332A9" w:rsidRPr="001332A9" w14:paraId="3303A6D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1704D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22167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C54D1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2C48F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206.911,31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F8407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CDDE1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CCD49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</w:tr>
      <w:tr w:rsidR="001332A9" w:rsidRPr="001332A9" w14:paraId="41CEE2F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23D8E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45C1A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222CE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219DF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179.897,64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B5027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2D4A6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8B447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167.000,00</w:t>
            </w:r>
          </w:p>
        </w:tc>
      </w:tr>
      <w:tr w:rsidR="001332A9" w:rsidRPr="001332A9" w14:paraId="0DC1630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E63E7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F6B35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4C051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6B815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27.013,67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4DE5D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25.100,00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77068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25.100,00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4337D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25.100,00</w:t>
            </w:r>
          </w:p>
        </w:tc>
      </w:tr>
      <w:tr w:rsidR="001332A9" w:rsidRPr="001332A9" w14:paraId="1D7DCE2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0016E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lastRenderedPageBreak/>
              <w:t xml:space="preserve">   1011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7B40D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74007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I UPRAVLJANJE SUSTAVA VODOOPSKRBE, ODVODNJE I ZAŠTITE VODA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42356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408.619,62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06E93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256.000,00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2E991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B499D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1332A9" w:rsidRPr="001332A9" w14:paraId="55B362B8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5B79B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59A53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sustava odvodnje oborinskih voda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2333B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275.896,81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8421C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1022B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10770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1332A9" w:rsidRPr="001332A9" w14:paraId="6D6112A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DF0D8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15CD7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78A35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1E977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265.278,98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A5BB2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09718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542D7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1332A9" w:rsidRPr="001332A9" w14:paraId="06A3082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14B9F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2F7FA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41806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E82C7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265.278,98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FE8F6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D0F2E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04865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1332A9" w:rsidRPr="001332A9" w14:paraId="62704CE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7BC73C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971C3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21640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06834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265.278,98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E64F5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7ED10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263FF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1332A9" w:rsidRPr="001332A9" w14:paraId="633D2F3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423A7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C9C23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2BBF4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Vodni doprinos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55A25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42C3F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65CB0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29B62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332A9" w:rsidRPr="001332A9" w14:paraId="56AC3BD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4903E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28AF1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D1888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6E887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7621B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F80CD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11B07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332A9" w:rsidRPr="001332A9" w14:paraId="0F09DC3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7FB8A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DC0F4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42CF2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11625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F630F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C08B2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A65B5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332A9" w:rsidRPr="001332A9" w14:paraId="63622E0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52D14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333E5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4EBC6F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PROSTORNO UREĐENJE I UNAPREĐENJE STANOVANJA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3C6AC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3.203.254,76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D898C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2.809.000,00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6AC1C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2.239.000,00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987F8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1.839.000,00</w:t>
            </w:r>
          </w:p>
        </w:tc>
      </w:tr>
      <w:tr w:rsidR="001332A9" w:rsidRPr="001332A9" w14:paraId="544E7557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8C61F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96122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Izrada prostorno planske dokumentacije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430D1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80.743,58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5A7B5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3B34E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68D8B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84.000,00</w:t>
            </w:r>
          </w:p>
        </w:tc>
      </w:tr>
      <w:tr w:rsidR="001332A9" w:rsidRPr="001332A9" w14:paraId="4B3836C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F85F6C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71A3C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A3DDB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7D443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76.761,90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AFD00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D27D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7D2D1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</w:tr>
      <w:tr w:rsidR="001332A9" w:rsidRPr="001332A9" w14:paraId="14E1FA0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A658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36DCB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BD3F8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3BE87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526B8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F3363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749E1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6C79D41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429DD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AD18C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9C752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46C0A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5A2AB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26DE4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2AB54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2E7D672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CB3C8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DD880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B7E92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7865F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50.217,33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ED9F8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0E119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C5273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</w:tr>
      <w:tr w:rsidR="001332A9" w:rsidRPr="001332A9" w14:paraId="316AE70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EA3F2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85465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E8073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68B43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50.217,33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D7BFB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E36A0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67B3D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</w:tr>
      <w:tr w:rsidR="001332A9" w:rsidRPr="001332A9" w14:paraId="42F57C3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2E63C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B7319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58B2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legalizaciju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E90EB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3.981,68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E68CB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B173E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B8C8A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332A9" w:rsidRPr="001332A9" w14:paraId="75FBD42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AA240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347A7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4B900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E16A7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3.981,68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BDE56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1613D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03987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332A9" w:rsidRPr="001332A9" w14:paraId="57FC8EA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06E9B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40A33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C336D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1CEF7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3.981,68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1A812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D919A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BA9BE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1332A9" w:rsidRPr="001332A9" w14:paraId="79604850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F9F92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D9495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javne rasvjete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DFF44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600.856,92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AA7DC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A7905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59F03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370.000,00</w:t>
            </w:r>
          </w:p>
        </w:tc>
      </w:tr>
      <w:tr w:rsidR="001332A9" w:rsidRPr="001332A9" w14:paraId="01CD67C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C30DF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FB7B9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C15F5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7386B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04DD5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AC6D4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E8533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1332A9" w:rsidRPr="001332A9" w14:paraId="6343B62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14293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7E2BF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68FB9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89BD4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2F47A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DD8D7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89E5D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1332A9" w:rsidRPr="001332A9" w14:paraId="0E12A3A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B108A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A6F2B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BA722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BB39C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A49D2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2D9F7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4A3CF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1332A9" w:rsidRPr="001332A9" w14:paraId="4CF03FC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1E281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F5116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A9CA2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BE02C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571.657,91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7E666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2ABDB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BD79A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</w:tr>
      <w:tr w:rsidR="001332A9" w:rsidRPr="001332A9" w14:paraId="58CF3B1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CC704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FCB86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3B020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C9089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571.657,91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5AE74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67CD5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3D32B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</w:tr>
      <w:tr w:rsidR="001332A9" w:rsidRPr="001332A9" w14:paraId="3822438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1BE74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8498E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EA0D3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0AAFA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571.657,91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01995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64B29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241AB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</w:tr>
      <w:tr w:rsidR="001332A9" w:rsidRPr="001332A9" w14:paraId="5DA10F26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85C32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9D581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Nadogradnja groblja Ban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49FDF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9FE33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DD692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18271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7DE605C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CF04A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F1C74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7664A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012D0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337.819,30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29E3E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19C84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2502B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6C70B25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78F20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E9895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470BF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A2435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337.819,30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FE472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FDA31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66EBC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06D861B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77C85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4EA0A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77079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6AA6D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337.819,30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8F330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A6C60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08C77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74044ED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A7D2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0F434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9541B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07603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035AE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C219F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6BFE3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0D8AEE3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512CD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3186C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0C37E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C8F72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BD638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A0619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CD1AD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42C92E5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E26EF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C85E5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D7EA3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40822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CE64C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FD89E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A11C5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75A97FD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02A4C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79425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F2AC5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CB64C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135.636,14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E6A6F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A16A0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6CEC1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0A2739E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99AEB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D0514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CC31B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9B5D0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135.636,14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4C5D1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9CE24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A16ED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09710C2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E4308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27537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B99F3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1E20E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135.636,14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E0230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AD258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857F4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422A7D48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EC1EF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06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6BD72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Osnovna škola "Sveti Martin"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2A81B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160.673,90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BFDF7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ECADD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D7357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332A9" w:rsidRPr="001332A9" w14:paraId="549A6A4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14FA5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D4A48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B8056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B391F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F372E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8B7DA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604DE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332A9" w:rsidRPr="001332A9" w14:paraId="3385893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EBA57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38B71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D5429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68E5D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160.673,90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461F0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222D8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39A54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332A9" w:rsidRPr="001332A9" w14:paraId="3B2C1C4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ED5A9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B956B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4111C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541B4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54.495,65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A7ECD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35600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B1AC5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050C249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45B7D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ABB06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9BBA8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4EEB9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106.178,25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AFC11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8F57A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22D32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332A9" w:rsidRPr="001332A9" w14:paraId="7186AB84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E4740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T6000 07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43C26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Geodetski elaborati nerazvrstanih cesta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84BF8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B58CE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EAFB0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ADA45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332A9" w:rsidRPr="001332A9" w14:paraId="3C4EB0C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6EE83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CEF97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453D9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59CC1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F835B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31D51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C8E03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332A9" w:rsidRPr="001332A9" w14:paraId="7A4985D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E022A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9F07A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F5BCC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58FF9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51BB5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8BD12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E32D3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332A9" w:rsidRPr="001332A9" w14:paraId="199FA5B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A08F8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AF02C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0AC3A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0056A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080F1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38C75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434AF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332A9" w:rsidRPr="001332A9" w14:paraId="39326839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A5627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BFCBF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SRC Miljevac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00C74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66.361,40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E9D4F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9D0B3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C2EE0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6A11621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D518D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26CA8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35198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22150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8CBEF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86463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40B94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56C0671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EDD3A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DD240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BB03A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879D2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A463F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9AE3A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1D367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14862BC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40166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9467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01082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A3114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DB428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93746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E4907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4AADA41A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4A13E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09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EAA85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Stambeno zbrinjavanje branitelja iz DR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48CB3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199.084,21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A93DB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B0B66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522DA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1332A9" w:rsidRPr="001332A9" w14:paraId="1CB0A98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7D43D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A0C3D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85A0B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73714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199.084,21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CCD69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50D14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A08C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1332A9" w:rsidRPr="001332A9" w14:paraId="0DF5059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640F4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AA3CC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EB7EE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705C7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199.084,21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98983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13BB3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02DD6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1332A9" w:rsidRPr="001332A9" w14:paraId="5DADEAC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E3989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62B26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63CEF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07017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199.084,21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D00D1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941E6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5F1B7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1332A9" w:rsidRPr="001332A9" w14:paraId="733E423F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152E8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10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A8025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protupožarnog puta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6F582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962DE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6AFCC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70822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332A9" w:rsidRPr="001332A9" w14:paraId="7694B30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80658C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C46CA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89E0E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8585F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700C5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977D9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B9E50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332A9" w:rsidRPr="001332A9" w14:paraId="268B3B5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A42FA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C56D5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00819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794A2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1EF6E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F337B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AC3C1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332A9" w:rsidRPr="001332A9" w14:paraId="43E81B2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1515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4AB92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ACA26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FB9A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E1891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55204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C342D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332A9" w:rsidRPr="001332A9" w14:paraId="4816F5A6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669A5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3B8FB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APC 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Petrićevo</w:t>
            </w:r>
            <w:proofErr w:type="spellEnd"/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04207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5F352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87CA0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5F323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0D8F613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DAB0A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B7DE3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D4E53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6AEEE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5D333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83CB5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1D493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0789A9D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910E7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E4A76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F6C86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73C54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6514A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D64A4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EC1FB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3066E54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45685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C06CC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1AF23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CA86C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A1BB5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9BD44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2BE7C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4C8A604C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75C3A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DFE41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dječjeg igrališta-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Grljevac</w:t>
            </w:r>
            <w:proofErr w:type="spellEnd"/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3E1B1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152.084,21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A278A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FA9D9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7B9ED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332A9" w:rsidRPr="001332A9" w14:paraId="438E675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9D1F8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D012D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6F284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682C5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152.084,21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79E09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A9082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AA5BB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332A9" w:rsidRPr="001332A9" w14:paraId="487B4FA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1F038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D6BE6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53ABB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EF890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152.084,21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69EEC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F9F21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C9B6E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332A9" w:rsidRPr="001332A9" w14:paraId="2253FAE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ABAFC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83D31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46ED9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1626B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84.361,40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D7A79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457B1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90DBF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332A9" w:rsidRPr="001332A9" w14:paraId="27B82D4E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CE791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075DA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Vanjska vježbališta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A0159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69712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2819C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71AAF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3627658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AEDAE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11D53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2EA43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5F5D2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8656D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BE91F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F236A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5E9AF0D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6FDDF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A31D5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A9F09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80BF0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2D636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4A796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200CE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3CCF60C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1792D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686D2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2FB27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DDE4B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9BC23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76258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8B51D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7DB6BBFB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BF6FB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K6000 14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2D30F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Sanacija pješačke i biciklističke staze na obalnom području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BB84C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1.230.000,00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E1064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BBB38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E3300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</w:tr>
      <w:tr w:rsidR="001332A9" w:rsidRPr="001332A9" w14:paraId="26FBC77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568FE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DB9DB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3E0E3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B3DED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831.831,58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78EB4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E6A37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19C73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</w:tr>
      <w:tr w:rsidR="001332A9" w:rsidRPr="001332A9" w14:paraId="7D06A17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21103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77762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FC992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8C1E9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831.831,58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7F8F1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A1D46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5D515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</w:tr>
      <w:tr w:rsidR="001332A9" w:rsidRPr="001332A9" w14:paraId="76C2EE0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6C4B4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91044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5D68E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8DC88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831.831,58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5374E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B8BE2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6397C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</w:tr>
      <w:tr w:rsidR="001332A9" w:rsidRPr="001332A9" w14:paraId="7E8C893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31A37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58AC8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F758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ACCEF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398.168,43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8D2E3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33460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11739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1332A9" w:rsidRPr="001332A9" w14:paraId="7CB7E33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7A3FF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F5510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32797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69E69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398.168,43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BF7F4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82938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622F2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1332A9" w:rsidRPr="001332A9" w14:paraId="1C14598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941B4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E7677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78C63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5966E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398.168,43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CE735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2C468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9BABA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1332A9" w:rsidRPr="001332A9" w14:paraId="3273CA7E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BBEE5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B3F01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Nove osnovne škole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0FD80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DEC39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01F28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C24F9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2017350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2C029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6B306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2C639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F65E7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92F2A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74522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7F84D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4292E1C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5ACF3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CC8A9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ED5DE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3856C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663E3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6D1AE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AE94E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7FAEF63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EC0E7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F3EB8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9EB2D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40C3E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A8DCF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3204B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EAB1A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7656BE57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296B6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16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0B631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sportske lučice Sv. Martin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E5DE4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8DDB2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1C72C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6D1F4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4ED26C3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D0F9A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05703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AF39B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45D06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58349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E566E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9B00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1EEE906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8E16A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08DA7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B2E01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4D08F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5E91F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12E2E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97DC6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5E582FA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27132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17183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0997C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183C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9C10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6E67C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8F450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527AFFB2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28FB2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17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37C6B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Očuvanje kulturne baštine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CEE8C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C581D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12397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3384D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332A9" w:rsidRPr="001332A9" w14:paraId="3F6CFD2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B02B3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77289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5BE3A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3907C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EC719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CE002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E8936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332A9" w:rsidRPr="001332A9" w14:paraId="46B68DA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39070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D072E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D531C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E3970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25CB6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F9CCF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382A2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332A9" w:rsidRPr="001332A9" w14:paraId="6421680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66592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76FA3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691F8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EACC2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A65BF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23079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E8200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332A9" w:rsidRPr="001332A9" w14:paraId="1A0B5DD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A103A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15EF9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09455A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A7E37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CEB56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123AC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6703D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332A9" w:rsidRPr="001332A9" w14:paraId="73EF71E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1C024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9063B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4D477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BC0CC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4318F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2294E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B81AF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1332A9" w:rsidRPr="001332A9" w14:paraId="30A41EA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F0EA7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60426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E1565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I SIGURNOST PROMETA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B951E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1.570.934,70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878A5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2.462.000,00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D2343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2.258.000,00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2B212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2.258.000,00</w:t>
            </w:r>
          </w:p>
        </w:tc>
      </w:tr>
      <w:tr w:rsidR="001332A9" w:rsidRPr="001332A9" w14:paraId="0E9B9E12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38B0B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DFC08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i rekonstrukcija ulica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EA04C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1.551.026,27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C5812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2.397.000,00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F7DC7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2.238.000,00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D1259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2.238.000,00</w:t>
            </w:r>
          </w:p>
        </w:tc>
      </w:tr>
      <w:tr w:rsidR="001332A9" w:rsidRPr="001332A9" w14:paraId="69F82A4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0BE35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1C7EE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3D540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CCDDD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59.905,97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6675E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C5731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488.000,00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DCE2D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488.000,00</w:t>
            </w:r>
          </w:p>
        </w:tc>
      </w:tr>
      <w:tr w:rsidR="001332A9" w:rsidRPr="001332A9" w14:paraId="7CB8785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79BDA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6D98C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8B779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77BF8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59.905,97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FACE6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CCCF4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39E2A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</w:tr>
      <w:tr w:rsidR="001332A9" w:rsidRPr="001332A9" w14:paraId="76FDD9B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EE1F8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3CBAF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DC5FC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543AC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59.905,97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5FAF2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CF09E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BB357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</w:tr>
      <w:tr w:rsidR="001332A9" w:rsidRPr="001332A9" w14:paraId="722AECF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95F4A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D7AD4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1EFA8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7E957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760.112,15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38D07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408.000,00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A1739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408.000,00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DB467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408.000,00</w:t>
            </w:r>
          </w:p>
        </w:tc>
      </w:tr>
      <w:tr w:rsidR="001332A9" w:rsidRPr="001332A9" w14:paraId="145F357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D1A03C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FD1C3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2FBAD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200D5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643.247,73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ADB69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43EC0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C34C9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</w:tr>
      <w:tr w:rsidR="001332A9" w:rsidRPr="001332A9" w14:paraId="46FE86A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922D6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E4C43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47B51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FA0D2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116.864,42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D7E2B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226EB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FF08B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1332A9" w:rsidRPr="001332A9" w14:paraId="475369A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80D8F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11225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5F924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7AFDB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49.725,26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63319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1.607.000,00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73245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46AC7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1.450.000,00</w:t>
            </w:r>
          </w:p>
        </w:tc>
      </w:tr>
      <w:tr w:rsidR="001332A9" w:rsidRPr="001332A9" w14:paraId="13F393E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08573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070AB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32BC4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6D2F8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49.725,26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C4478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F99DF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2E4AA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1C29FB6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7EFD7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CD5B5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363EE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16E42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49.725,26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3C732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1A931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89666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5709551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9E2F4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888B9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60D13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45FF7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641.466,06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66810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1.597.000,00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719D2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A5A07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1.450.000,00</w:t>
            </w:r>
          </w:p>
        </w:tc>
      </w:tr>
      <w:tr w:rsidR="001332A9" w:rsidRPr="001332A9" w14:paraId="001A542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1209D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0FE5E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F2B6B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594DF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89.875,24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101C3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464.000,00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17925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56196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</w:tr>
      <w:tr w:rsidR="001332A9" w:rsidRPr="001332A9" w14:paraId="61C82A2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1BF33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4DD5D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11EAB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6774C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87.976,77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F910D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07509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AB4D7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</w:tr>
      <w:tr w:rsidR="001332A9" w:rsidRPr="001332A9" w14:paraId="2635B2D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05ABB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98DF3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B773F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E83BF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463.614,04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517B5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943.000,00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F4FE1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860.000,00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C4712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860.000,00</w:t>
            </w:r>
          </w:p>
        </w:tc>
      </w:tr>
      <w:tr w:rsidR="001332A9" w:rsidRPr="001332A9" w14:paraId="10C168C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1BD65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FAFD2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CEC5D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89A36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4F54E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791DA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7258B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1332A9" w:rsidRPr="001332A9" w14:paraId="0624871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DD521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A408B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F00B3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EAD43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DBDAE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6AC8F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AC397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1332A9" w:rsidRPr="001332A9" w14:paraId="3409E18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5FF59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5D997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D459F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8D4C4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B4F68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62304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E2ACB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1332A9" w:rsidRPr="001332A9" w14:paraId="08955022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1D85C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19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A1202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Južni nogostup uz D8 - kod HC Lav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5BF08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2856C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94AB1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7452B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332A9" w:rsidRPr="001332A9" w14:paraId="66C6CAD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2FD72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5EEDB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D2051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1ABA2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64EA0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73B3E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C8EA0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332A9" w:rsidRPr="001332A9" w14:paraId="5FFE720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613C4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5342C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354F8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384D9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05CDD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B649C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38681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332A9" w:rsidRPr="001332A9" w14:paraId="4422568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6871EC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E7313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58EE7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C0337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84962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8162A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B2B6F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1332A9" w:rsidRPr="001332A9" w14:paraId="1352BE67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5E84B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20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1603C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Prometna svjetlosna signalizacija na pješačkim prijelazima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9B8BB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4AA0B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04C57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18C53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5E4EB63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5F2CB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43444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9ED21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EEEA6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A3BC8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85311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B9C88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31B888C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B1274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3CE40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20599F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F0915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059E9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A0C4D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AD483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7838669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64EF0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1944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11B03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A1508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9BD14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B8FA3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6322B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72FCF50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C4254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D671F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DE65B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ODRŽAVANJE KOMUNALNE INFRASTRUKTURE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F13A0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1.165.190,32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4B235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1.117.000,00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9868F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1.107.000,00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FEF4A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1.107.000,00</w:t>
            </w:r>
          </w:p>
        </w:tc>
      </w:tr>
      <w:tr w:rsidR="001332A9" w:rsidRPr="001332A9" w14:paraId="6A3530F6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51BEB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0EB8A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nerazvrstanih ulica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CF3C8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858.200,15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52011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01183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0BB53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557.000,00</w:t>
            </w:r>
          </w:p>
        </w:tc>
      </w:tr>
      <w:tr w:rsidR="001332A9" w:rsidRPr="001332A9" w14:paraId="615035E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A44FF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9CA79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D57B0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DCD5F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445.548,14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084CB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735A2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57407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1332A9" w:rsidRPr="001332A9" w14:paraId="0E3C386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3176C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A6742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C3D1E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58E99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445.548,14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06B2D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08435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0C3AE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1332A9" w:rsidRPr="001332A9" w14:paraId="0BF5EDB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4BF59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19BAE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25403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1C318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445.548,14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A3E0F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F9C83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83663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1332A9" w:rsidRPr="001332A9" w14:paraId="7DFD36C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ADE1E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C0DD0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ECE5C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37197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332.308,91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D9E4B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27461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9FBC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1332A9" w:rsidRPr="001332A9" w14:paraId="6556848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2AFAD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E694E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EC1B3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DC117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332.308,91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98282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49331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3ABC4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1332A9" w:rsidRPr="001332A9" w14:paraId="1B77FF1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261AFC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E6126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5C157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B0443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332.308,91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3668A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595A4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E95BE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1332A9" w:rsidRPr="001332A9" w14:paraId="54AAEBD3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82027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A4E19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plaža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6F930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53.089,12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687BB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5DEA5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F4494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332A9" w:rsidRPr="001332A9" w14:paraId="28C1607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25D3B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3914E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E4164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3736E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53.089,12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42DE1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4FEB6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06CBB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332A9" w:rsidRPr="001332A9" w14:paraId="2DB879C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9F08F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2844C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E4281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E3D0D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53.089,12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D01FC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5ED97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C8DC4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332A9" w:rsidRPr="001332A9" w14:paraId="5E68BEF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2467D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AF69F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80BC3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C1462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53.089,12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ACF43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230A0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43783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332A9" w:rsidRPr="001332A9" w14:paraId="40E01DD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3A8E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24951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77888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BCF38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D7C8D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4042B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4CF85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332A9" w:rsidRPr="001332A9" w14:paraId="0C88863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E57AB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A1FF3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C801E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FD9B2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356B9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6DBD5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05E75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332A9" w:rsidRPr="001332A9" w14:paraId="5C7BC64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91B9C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900FC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BA507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AC97E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4D44A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4E8CB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77F84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332A9" w:rsidRPr="001332A9" w14:paraId="56E76378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737F5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EA1B9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sustava bicikala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31D6B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06CFF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6449D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7259A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332A9" w:rsidRPr="001332A9" w14:paraId="0590806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DFC4C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8D5D2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3CD22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57FD2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97EEA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AA5D1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C1596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332A9" w:rsidRPr="001332A9" w14:paraId="550415C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9A555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C8E2B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AE66D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AC103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F6B3B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5A6ED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5B20B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332A9" w:rsidRPr="001332A9" w14:paraId="4563271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C45DB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4B267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0EA06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2C8A1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B9E20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2017C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3E12C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1332A9" w:rsidRPr="001332A9" w14:paraId="6BF950D4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DED90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38426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javne rasvjete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57212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203.466,39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9F016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057D0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9B0AC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1332A9" w:rsidRPr="001332A9" w14:paraId="5ACD68D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9EBB5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86E3C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DD594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B7E38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127.814,39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A04B8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7DFDD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80EB3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</w:tr>
      <w:tr w:rsidR="001332A9" w:rsidRPr="001332A9" w14:paraId="2E00157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3BC63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30EC9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F18CA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AD280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127.814,39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E4593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3FB5A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28884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</w:tr>
      <w:tr w:rsidR="001332A9" w:rsidRPr="001332A9" w14:paraId="0E6A015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44F0C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D66D3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27DBA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224A0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127.814,39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7F609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A8429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1053C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</w:tr>
      <w:tr w:rsidR="001332A9" w:rsidRPr="001332A9" w14:paraId="79343F8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C1FB3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CF1E9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D51D6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D6127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75.652,00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8F70D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E7D8F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7C64D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1332A9" w:rsidRPr="001332A9" w14:paraId="25E5A55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76E2B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E42C7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8AD4F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187AE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75.652,00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3060E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01C44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D47DA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1332A9" w:rsidRPr="001332A9" w14:paraId="7AC0763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05F35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555BE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B353C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A2EA1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75.652,00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FB4F8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27638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214E2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1332A9" w:rsidRPr="001332A9" w14:paraId="18A2585E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84682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9CC5B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dječjih igrališta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58ADC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50.434,67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0F980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479A7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FC6B0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1332A9" w:rsidRPr="001332A9" w14:paraId="0D3E1E9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24B9F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FE460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D24DB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FBE6F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D8F6F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86212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B3292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332A9" w:rsidRPr="001332A9" w14:paraId="605CE79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28A93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F0E12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FA48C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C7735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A13B3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692F3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5AF2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332A9" w:rsidRPr="001332A9" w14:paraId="4A1B7CC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2CB0A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8267C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D477C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045E3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E678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F664D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87217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332A9" w:rsidRPr="001332A9" w14:paraId="55E8C15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8F31D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76EFF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E1F80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F42D8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848FB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9D48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AB9E6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332A9" w:rsidRPr="001332A9" w14:paraId="2E9429C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4D097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71915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E1B8C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79B19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9E898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0DF4A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70706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332A9" w:rsidRPr="001332A9" w14:paraId="6584CC5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13B0C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70B77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3AA0B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34D34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99AD6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9EF14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9B4A7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332A9" w:rsidRPr="001332A9" w14:paraId="7E6AC7B0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9FF66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26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BBB9B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autobusnih stajališta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D13A9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C2604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F4ED2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3989D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051E073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7B940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EBFDA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6EF9A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6D9EB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6FB5A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982D8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17121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66E606F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06F95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98087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8AC91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50CF0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23BDA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2E7AC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29852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0C29EBF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A68E8C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B74FA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77756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DF27E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0A0FE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10BBA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FAD77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2070099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4E51D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A6D9F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055E7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UPRAVLJANJE IMOVINOM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05740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525.354,04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416CB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1.258.000,00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F3799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3.638.000,00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8CBE5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3.638.000,00</w:t>
            </w:r>
          </w:p>
        </w:tc>
      </w:tr>
      <w:tr w:rsidR="001332A9" w:rsidRPr="001332A9" w14:paraId="53D9D1E7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2DDAB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27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2BD8D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Restauracija-konzervacija umjetničkih djela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2BC6A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7157E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46F5C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50264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332A9" w:rsidRPr="001332A9" w14:paraId="751E9B0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566FC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0AC52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39B11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4CD13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024A5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EA1FD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D4D5E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332A9" w:rsidRPr="001332A9" w14:paraId="51E78A1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2DC6C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30013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AC2A1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D6D51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BAE54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FA6E3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623DB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332A9" w:rsidRPr="001332A9" w14:paraId="28E9B000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A9C66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2C8D9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41D57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A6313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BB94D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494E2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48E0E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332A9" w:rsidRPr="001332A9" w14:paraId="35562E66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11C9E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28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7BEEA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objekata u vlasništvu i posjedu Općine Podstrana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7F2B9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46.452,98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B7750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106F9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95F7F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1332A9" w:rsidRPr="001332A9" w14:paraId="6F6AC81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3EC1F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A4026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FE572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61821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46.452,98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C8F59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835D8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A7E78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1332A9" w:rsidRPr="001332A9" w14:paraId="42EC01C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8B04B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40C75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2CD70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423A1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46.452,98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BBDC5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021C2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FDDBF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1332A9" w:rsidRPr="001332A9" w14:paraId="569DEDB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0DC6F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98274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28F98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F8DB2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46.452,98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FC225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BF104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E0E42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1332A9" w:rsidRPr="001332A9" w14:paraId="1F3EF0E9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B5196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29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9CB71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i opremanje zgrada u vlasništvu i posjedu Općine Podstrana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2A024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92.905,97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A5DB0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D0337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52742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</w:tr>
      <w:tr w:rsidR="001332A9" w:rsidRPr="001332A9" w14:paraId="68194D1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ACCDF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668D3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43726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89D9C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79.633,69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75604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FB05E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1DD8F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1332A9" w:rsidRPr="001332A9" w14:paraId="72ED561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AFC25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BEC8D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2C908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B1D83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79.633,69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BFDCB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84320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80EC1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1332A9" w:rsidRPr="001332A9" w14:paraId="1519FA5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0C8B3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46B01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DEA27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0BCB4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6.636,14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8356E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A91D8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DDABF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1332A9" w:rsidRPr="001332A9" w14:paraId="06AFD13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A6BC5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95424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1C9FB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282E5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71.197,54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8660A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369E1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5CA84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1332A9" w:rsidRPr="001332A9" w14:paraId="6EB5423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F9A0F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A00A5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B9FF8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8BC56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2158C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577D5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6F810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332A9" w:rsidRPr="001332A9" w14:paraId="0F5F37F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B9B73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B7337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3E3EA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F7B35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A7F36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32D99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D16D6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332A9" w:rsidRPr="001332A9" w14:paraId="2DB3A8A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F33BB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461F9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379ED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D602B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32E11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F1716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97DAD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332A9" w:rsidRPr="001332A9" w14:paraId="272EB0CD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59BEC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30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F87CE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Zgrada javne i društvene namjene u Sv. Martinu (ex. Vinkovačko)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DDAFD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79.633,69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AFD53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92D66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36FA5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04E7186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41701B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76882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526A4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C3260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97331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8FAA9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8FFCE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3E12EF04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9F9DA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70DE8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158B0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82746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B8D22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64407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093A6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27291C8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68459D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439E1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1463D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46412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3F965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787C6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483BC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465373DC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38307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A86C1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sportske dvorane u </w:t>
            </w:r>
            <w:proofErr w:type="spellStart"/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Strožancu</w:t>
            </w:r>
            <w:proofErr w:type="spellEnd"/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47C25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240.000,00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F7537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4A614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8311E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3.500.000,00</w:t>
            </w:r>
          </w:p>
        </w:tc>
      </w:tr>
      <w:tr w:rsidR="001332A9" w:rsidRPr="001332A9" w14:paraId="337B2BA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9092B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586CF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59F3D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EC2EF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D3560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976A1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CE96C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1332A9" w:rsidRPr="001332A9" w14:paraId="3036546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45A98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84E14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C24C3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F2860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0CFFF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C50B9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5962F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1332A9" w:rsidRPr="001332A9" w14:paraId="6F80594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51CA8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D2F98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BB862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15BB5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BFDAA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343CC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0C0DF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1332A9" w:rsidRPr="001332A9" w14:paraId="3E52D7E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DDA8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E434F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CFF69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33CE0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4C8B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445E2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DD214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</w:tr>
      <w:tr w:rsidR="001332A9" w:rsidRPr="001332A9" w14:paraId="02E4FE3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32298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6F756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F8096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8E4AA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43.066,56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D1C68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B9D9D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E630A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</w:tr>
      <w:tr w:rsidR="001332A9" w:rsidRPr="001332A9" w14:paraId="16A5413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FA2AF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4F70D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A9E06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12642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43.066,56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99D1E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15CC8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533F0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</w:tr>
      <w:tr w:rsidR="001332A9" w:rsidRPr="001332A9" w14:paraId="70FF5168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C4914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05717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Poslovni centar s garažom Miljevac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DF7A1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39.816,84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5B885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895BA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8EC3E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6AB42AD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E2FBB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DF7BE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A1911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479AA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04280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811D1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46C9A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3A09413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DC8C5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01BB3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77978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FDD80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54B21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42309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4F0F4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65FCFB9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18176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4783C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96E7D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4A1E8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828DB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84844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D4278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53885EA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4C78A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BD937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CFB65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930D9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7CEF3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F1BB9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B75D6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6E14E71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A381F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BD7FA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D7EA5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46B57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ABB11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B51DD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4779B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1F3CCEB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F29BD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50BD4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7B100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22F3A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EAF57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D8746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F5A16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74CD2C75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D24EF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2B49F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novog vatrogasnog doma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C08D0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EEFD5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7ABEF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FDC07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49D80C4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2F6A5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0F130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59A66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523D9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1F18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6C4EF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1E420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7E20D23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5AE59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26B2B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A3D12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9CB5B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F5006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1C789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4AC2D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13D9731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2CB52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2FB10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A6408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06CB6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B6A72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386B5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7B14C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1332A9" w:rsidRPr="001332A9" w14:paraId="6839906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821B7F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00602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09B3A7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1E1EB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ODSJEK ZA KOMUNALNO REDARSTVO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48C997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107.372,75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0E814F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278298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6DF1BC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133.700,00</w:t>
            </w:r>
          </w:p>
        </w:tc>
      </w:tr>
      <w:tr w:rsidR="001332A9" w:rsidRPr="001332A9" w14:paraId="42F3A7E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65F46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95CAD6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7496B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C7C08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107.372,75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31DC3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DA671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B2159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133.700,00</w:t>
            </w:r>
          </w:p>
        </w:tc>
      </w:tr>
      <w:tr w:rsidR="001332A9" w:rsidRPr="001332A9" w14:paraId="534A8456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7C7B5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A6002 01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959F0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odsjeka za komunalno redarstvo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04017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107.372,75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B8947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252E9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7A278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</w:tr>
      <w:tr w:rsidR="001332A9" w:rsidRPr="001332A9" w14:paraId="3E58576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C3B67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3C3AF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AFDFA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3675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107.372,75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40BA3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33C31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D11D2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</w:tr>
      <w:tr w:rsidR="001332A9" w:rsidRPr="001332A9" w14:paraId="688BC60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1DFC62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68200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A0AF7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79222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107.372,75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211B6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24E5F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97A46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</w:tr>
      <w:tr w:rsidR="001332A9" w:rsidRPr="001332A9" w14:paraId="717A98C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3A0CD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B29F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5683E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0E5F0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65.565,07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61496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4A639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DB69E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</w:tr>
      <w:tr w:rsidR="001332A9" w:rsidRPr="001332A9" w14:paraId="43D59126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44372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04AEC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B2F44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52CAD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41.807,68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3BB18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158C3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AFDD9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</w:tr>
      <w:tr w:rsidR="001332A9" w:rsidRPr="001332A9" w14:paraId="6E45A3E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32E32B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E5CCDD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9512A2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VLASTITI KOMUNALNI POGON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9CA5EA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1.041.888,74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39EE42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1.391.440,00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A33C5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1.121.440,00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E4F2B8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1.081.440,00</w:t>
            </w:r>
          </w:p>
        </w:tc>
      </w:tr>
      <w:tr w:rsidR="001332A9" w:rsidRPr="001332A9" w14:paraId="5291E063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0AE7DD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00701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11F34C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53826D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VLASTITI KOMUNALNI POGON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6379B3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1.041.888,74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E49756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1.391.440,00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329B8A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1.121.440,00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29D960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1.081.440,00</w:t>
            </w:r>
          </w:p>
        </w:tc>
      </w:tr>
      <w:tr w:rsidR="001332A9" w:rsidRPr="001332A9" w14:paraId="4CD1317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5A1F3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6D48D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91411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ODRŽAVANJE KOMUNALNE INFRASTRUKTURE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7B046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1.018.616,46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6465E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1.370.800,00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A5B57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1.100.800,00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32E932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1.060.800,00</w:t>
            </w:r>
          </w:p>
        </w:tc>
      </w:tr>
      <w:tr w:rsidR="001332A9" w:rsidRPr="001332A9" w14:paraId="2BEB2BBF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636F5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B2E63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Rashodi redovnog poslovanja komunalnog pogona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35EF9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427.346,94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35757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E8D2A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E69B9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</w:tr>
      <w:tr w:rsidR="001332A9" w:rsidRPr="001332A9" w14:paraId="6B4CC25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FA140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DF41F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F33AB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1F392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427.346,94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DF232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54F85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C82C0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</w:tr>
      <w:tr w:rsidR="001332A9" w:rsidRPr="001332A9" w14:paraId="255E689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C90C6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EDA24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76ABE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AD5BF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427.346,94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ACE7D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4630C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C9A22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</w:tr>
      <w:tr w:rsidR="001332A9" w:rsidRPr="001332A9" w14:paraId="31CF452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DE57B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D80DE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9A2B8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41D3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384.079,30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611AD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388.500,00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4FD13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388.500,00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19474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388.500,00</w:t>
            </w:r>
          </w:p>
        </w:tc>
      </w:tr>
      <w:tr w:rsidR="001332A9" w:rsidRPr="001332A9" w14:paraId="5DC71A3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9CE06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58C2B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3248B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1D29D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43.267,64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DBEDC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3D099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A59EB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</w:tr>
      <w:tr w:rsidR="001332A9" w:rsidRPr="001332A9" w14:paraId="48406C32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4679B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B930D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komunalnih i osobnih vozila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9442A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92.698,28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CE25F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931CA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BF9EE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</w:tr>
      <w:tr w:rsidR="001332A9" w:rsidRPr="001332A9" w14:paraId="29AEA26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83974C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50365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1B1D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50B08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77.698,28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918EC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1E414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B1F5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</w:tr>
      <w:tr w:rsidR="001332A9" w:rsidRPr="001332A9" w14:paraId="28D7D7B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981F2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F10D8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A13B3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690C1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77.698,28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018BC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5CE8D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5DC19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</w:tr>
      <w:tr w:rsidR="001332A9" w:rsidRPr="001332A9" w14:paraId="227E4DB9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7BE4B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03359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2D047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11B5D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77.698,28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7A5DD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6FAFD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B8B82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</w:tr>
      <w:tr w:rsidR="001332A9" w:rsidRPr="001332A9" w14:paraId="57FDC77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786E9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37CCD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BACF4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AE382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ACD87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F9B5E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C378C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332A9" w:rsidRPr="001332A9" w14:paraId="17C2E16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DA9B5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853FE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F153B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25624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39277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AC1E5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14606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332A9" w:rsidRPr="001332A9" w14:paraId="09F52491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4DF6A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FCFE8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javnih površina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BE277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470.733,76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FBC0B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1CFBD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F5DB9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495.000,00</w:t>
            </w:r>
          </w:p>
        </w:tc>
      </w:tr>
      <w:tr w:rsidR="001332A9" w:rsidRPr="001332A9" w14:paraId="31260B9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888ED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DBADF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AE700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0C30A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275.848,57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B26EE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55424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DD482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1332A9" w:rsidRPr="001332A9" w14:paraId="4FB6CDD8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983ACA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14061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3973D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1F069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275.848,57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4D44E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59D8B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DAD8A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</w:tr>
      <w:tr w:rsidR="001332A9" w:rsidRPr="001332A9" w14:paraId="75BCED8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03BA73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14A59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218D9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40A2E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275.848,57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B57C3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6B101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5602F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</w:tr>
      <w:tr w:rsidR="001332A9" w:rsidRPr="001332A9" w14:paraId="64FFE47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F0995F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38C92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8A79F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7608E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144.450,53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3FFEF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248E3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718B7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1332A9" w:rsidRPr="001332A9" w14:paraId="299FF49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ED794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52B23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8CF4B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95555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144.450,53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F6E4C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B3BD2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6B40C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1332A9" w:rsidRPr="001332A9" w14:paraId="795F3C0E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765150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1A66D1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E74A6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1E093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554F5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D2735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9F67D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332A9" w:rsidRPr="001332A9" w14:paraId="19F7E5CC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8FD19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681B92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F66CB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B620B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50.434,67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12042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35B61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966D9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1332A9" w:rsidRPr="001332A9" w14:paraId="7A736A1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37863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245137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4C6C3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E1686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50.434,67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6E339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BF213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694B1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1332A9" w:rsidRPr="001332A9" w14:paraId="3BFB699D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BA6E3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2411A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C6C27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1EED9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50.434,67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8D0FF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AA88B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4AC1D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1332A9" w:rsidRPr="001332A9" w14:paraId="18FC7BEC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0F865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A0F34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Organizacija, naplata i održavanje parkirališta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A1851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27.837,48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7BBA3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A2C6C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B0F6E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22.200,00</w:t>
            </w:r>
          </w:p>
        </w:tc>
      </w:tr>
      <w:tr w:rsidR="001332A9" w:rsidRPr="001332A9" w14:paraId="1B0905B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2AC036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1CA94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97554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F2CA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27.837,48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50F4C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CB8F1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3C8D6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22.200,00</w:t>
            </w:r>
          </w:p>
        </w:tc>
      </w:tr>
      <w:tr w:rsidR="001332A9" w:rsidRPr="001332A9" w14:paraId="10C37BF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2D869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91166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15A5E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89FD5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27.837,48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C7A59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28DFF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25949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22.200,00</w:t>
            </w:r>
          </w:p>
        </w:tc>
      </w:tr>
      <w:tr w:rsidR="001332A9" w:rsidRPr="001332A9" w14:paraId="77D965C7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76A0C5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0285B4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CFFF9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8D1C5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24.183,02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85578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7B9DC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5FA21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18.200,00</w:t>
            </w:r>
          </w:p>
        </w:tc>
      </w:tr>
      <w:tr w:rsidR="001332A9" w:rsidRPr="001332A9" w14:paraId="4624313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2269F1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473D0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FE419D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2803B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3.654,46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2381F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3D853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2CA0DE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1332A9" w:rsidRPr="001332A9" w14:paraId="2A6A7E31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8149F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FFAF5E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F7A82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UPRAVLJANJE IMOVINOM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FAB58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23.272,28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12382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20.640,00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01410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20.640,00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27A17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20.640,00</w:t>
            </w:r>
          </w:p>
        </w:tc>
      </w:tr>
      <w:tr w:rsidR="001332A9" w:rsidRPr="001332A9" w14:paraId="5E5BAC9A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77F278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05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9DC92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zgrada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3B862F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5.981,68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9793D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0E6B2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309F4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1332A9" w:rsidRPr="001332A9" w14:paraId="0DFF22CB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F97E29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69F28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898319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774B6B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5.981,68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9532F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D0370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DC85A1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1332A9" w:rsidRPr="001332A9" w14:paraId="030A63B5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E68D2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C1EEFB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F9D68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A877A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5.981,68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02FD6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BF8FE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FFD7E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1332A9" w:rsidRPr="001332A9" w14:paraId="55B543B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9FBF5E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7D3DDC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BB010F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2451A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5.981,68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5D25CC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7FCA70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8627E5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1332A9" w:rsidRPr="001332A9" w14:paraId="186BE2D4" w14:textId="77777777" w:rsidTr="001332A9">
        <w:trPr>
          <w:gridBefore w:val="1"/>
          <w:wBefore w:w="426" w:type="dxa"/>
          <w:trHeight w:val="300"/>
        </w:trPr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F4E223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06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9413D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groblja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C9B848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17.290,60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AF7D32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62B53D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CFC95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</w:tr>
      <w:tr w:rsidR="001332A9" w:rsidRPr="001332A9" w14:paraId="62F7234F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E998C8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97329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7C56C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998D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17.290,60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09185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F7B03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2F7DB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</w:tr>
      <w:tr w:rsidR="001332A9" w:rsidRPr="001332A9" w14:paraId="025BC60A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126644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EA0D00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01B215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19BDD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17.290,60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950F16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70B65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108219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</w:tr>
      <w:tr w:rsidR="001332A9" w:rsidRPr="001332A9" w14:paraId="4377DA32" w14:textId="77777777" w:rsidTr="001332A9">
        <w:trPr>
          <w:gridBefore w:val="1"/>
          <w:wBefore w:w="426" w:type="dxa"/>
          <w:trHeight w:val="300"/>
        </w:trPr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90FA7" w14:textId="77777777" w:rsidR="001332A9" w:rsidRPr="001332A9" w:rsidRDefault="001332A9" w:rsidP="001332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6A3EFA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FEEE56" w14:textId="77777777" w:rsidR="001332A9" w:rsidRPr="001332A9" w:rsidRDefault="001332A9" w:rsidP="001332A9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0A3A34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17.290,60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679203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5974FA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E97D47" w14:textId="77777777" w:rsidR="001332A9" w:rsidRPr="001332A9" w:rsidRDefault="001332A9" w:rsidP="001332A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32A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</w:tr>
    </w:tbl>
    <w:p w14:paraId="737ACAB9" w14:textId="77777777" w:rsidR="001332A9" w:rsidRDefault="001332A9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6C4557F" w14:textId="610A7954" w:rsidR="006F4F2D" w:rsidRPr="00E44551" w:rsidRDefault="006F4F2D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bookmarkStart w:id="4" w:name="_Hlk121122056"/>
      <w:bookmarkEnd w:id="1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Članak 3.</w:t>
      </w:r>
    </w:p>
    <w:p w14:paraId="444A2204" w14:textId="4671CCA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>OBRAZLOŽENJE OPĆEG DIJELA PRORAČUNA</w:t>
      </w:r>
    </w:p>
    <w:bookmarkEnd w:id="4"/>
    <w:p w14:paraId="6B07CE9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1) PRIHODI I PRIMICI </w:t>
      </w:r>
    </w:p>
    <w:p w14:paraId="5B20CD17" w14:textId="4BBABEF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5" w:name="_Hlk119426496"/>
      <w:r w:rsidRPr="00E44551">
        <w:rPr>
          <w:rFonts w:ascii="Arial" w:eastAsia="Calibri" w:hAnsi="Arial" w:cs="Arial"/>
          <w:sz w:val="22"/>
          <w:szCs w:val="22"/>
          <w:lang w:val="hr-HR"/>
        </w:rPr>
        <w:t>Prijedlogom Proračuna Općine Podstrana za 202</w:t>
      </w:r>
      <w:r w:rsidR="001F504B" w:rsidRPr="00E44551">
        <w:rPr>
          <w:rFonts w:ascii="Arial" w:eastAsia="Calibri" w:hAnsi="Arial" w:cs="Arial"/>
          <w:sz w:val="22"/>
          <w:szCs w:val="22"/>
          <w:lang w:val="hr-HR"/>
        </w:rPr>
        <w:t>4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godinu planiraju se ukupni prihodi </w:t>
      </w:r>
      <w:r w:rsidR="00943364" w:rsidRPr="00E44551">
        <w:rPr>
          <w:rFonts w:ascii="Arial" w:eastAsia="Calibri" w:hAnsi="Arial" w:cs="Arial"/>
          <w:sz w:val="22"/>
          <w:szCs w:val="22"/>
          <w:lang w:val="hr-HR"/>
        </w:rPr>
        <w:t>kako slijed</w:t>
      </w:r>
      <w:bookmarkEnd w:id="5"/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i</w:t>
      </w:r>
    </w:p>
    <w:p w14:paraId="2FF92689" w14:textId="2D80F2F6" w:rsidR="00943364" w:rsidRPr="00E44551" w:rsidRDefault="0094336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  <w:t xml:space="preserve"> 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                  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="001F504B" w:rsidRPr="00E44551">
        <w:rPr>
          <w:rFonts w:ascii="Arial" w:eastAsia="Calibri" w:hAnsi="Arial" w:cs="Arial"/>
          <w:sz w:val="22"/>
          <w:szCs w:val="22"/>
          <w:lang w:val="hr-HR"/>
        </w:rPr>
        <w:t xml:space="preserve">        </w:t>
      </w:r>
    </w:p>
    <w:tbl>
      <w:tblPr>
        <w:tblW w:w="4920" w:type="pct"/>
        <w:tblLook w:val="04A0" w:firstRow="1" w:lastRow="0" w:firstColumn="1" w:lastColumn="0" w:noHBand="0" w:noVBand="1"/>
      </w:tblPr>
      <w:tblGrid>
        <w:gridCol w:w="1093"/>
        <w:gridCol w:w="10490"/>
        <w:gridCol w:w="2756"/>
      </w:tblGrid>
      <w:tr w:rsidR="0085530D" w:rsidRPr="00E44551" w14:paraId="63C97B83" w14:textId="4D8740C4" w:rsidTr="0085530D">
        <w:trPr>
          <w:trHeight w:val="253"/>
        </w:trPr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hideMark/>
          </w:tcPr>
          <w:p w14:paraId="1468D921" w14:textId="497674D9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155E7E70" w14:textId="64886EAA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Prihodi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6525520C" w14:textId="63379E6F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11.842.745,29</w:t>
            </w:r>
          </w:p>
        </w:tc>
      </w:tr>
      <w:tr w:rsidR="0085530D" w:rsidRPr="00E44551" w14:paraId="74AC760D" w14:textId="397453D7" w:rsidTr="0085530D">
        <w:trPr>
          <w:trHeight w:val="253"/>
        </w:trPr>
        <w:tc>
          <w:tcPr>
            <w:tcW w:w="381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39432AC" w14:textId="2E654CB7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365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768C169" w14:textId="5AE63670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Prihodi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od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poreza</w:t>
            </w:r>
            <w:proofErr w:type="spellEnd"/>
          </w:p>
        </w:tc>
        <w:tc>
          <w:tcPr>
            <w:tcW w:w="961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8D09336" w14:textId="7BC2B35D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7.410.300,00</w:t>
            </w:r>
          </w:p>
        </w:tc>
      </w:tr>
      <w:tr w:rsidR="0085530D" w:rsidRPr="00E44551" w14:paraId="28CAF245" w14:textId="120957C0" w:rsidTr="0085530D">
        <w:trPr>
          <w:trHeight w:val="253"/>
        </w:trPr>
        <w:tc>
          <w:tcPr>
            <w:tcW w:w="381" w:type="pct"/>
            <w:shd w:val="clear" w:color="auto" w:fill="auto"/>
            <w:hideMark/>
          </w:tcPr>
          <w:p w14:paraId="1739BF3F" w14:textId="6A195E0D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3658" w:type="pct"/>
            <w:shd w:val="clear" w:color="auto" w:fill="auto"/>
            <w:hideMark/>
          </w:tcPr>
          <w:p w14:paraId="1D6A845E" w14:textId="50D85968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hr-HR"/>
              </w:rPr>
              <w:t>Pomoći iz inozemstva  i od subjekata unutar općeg proračuna</w:t>
            </w:r>
          </w:p>
        </w:tc>
        <w:tc>
          <w:tcPr>
            <w:tcW w:w="961" w:type="pct"/>
            <w:tcBorders>
              <w:top w:val="nil"/>
            </w:tcBorders>
            <w:shd w:val="clear" w:color="auto" w:fill="auto"/>
            <w:hideMark/>
          </w:tcPr>
          <w:p w14:paraId="1A64D1A2" w14:textId="4B4BADFB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1.693.800,00</w:t>
            </w:r>
          </w:p>
        </w:tc>
      </w:tr>
      <w:tr w:rsidR="0085530D" w:rsidRPr="00E44551" w14:paraId="4D48CA26" w14:textId="18B8463A" w:rsidTr="0085530D">
        <w:trPr>
          <w:trHeight w:val="253"/>
        </w:trPr>
        <w:tc>
          <w:tcPr>
            <w:tcW w:w="381" w:type="pct"/>
            <w:shd w:val="clear" w:color="auto" w:fill="auto"/>
            <w:hideMark/>
          </w:tcPr>
          <w:p w14:paraId="0CBD004F" w14:textId="09958ED7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3658" w:type="pct"/>
            <w:shd w:val="clear" w:color="auto" w:fill="auto"/>
            <w:hideMark/>
          </w:tcPr>
          <w:p w14:paraId="49C195DD" w14:textId="066290C6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Prihodi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od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imovine</w:t>
            </w:r>
            <w:proofErr w:type="spellEnd"/>
          </w:p>
        </w:tc>
        <w:tc>
          <w:tcPr>
            <w:tcW w:w="961" w:type="pct"/>
            <w:tcBorders>
              <w:top w:val="nil"/>
            </w:tcBorders>
            <w:shd w:val="clear" w:color="auto" w:fill="auto"/>
            <w:hideMark/>
          </w:tcPr>
          <w:p w14:paraId="229F1DD9" w14:textId="78F2559C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385.300,00</w:t>
            </w:r>
          </w:p>
        </w:tc>
      </w:tr>
      <w:tr w:rsidR="0085530D" w:rsidRPr="00E44551" w14:paraId="46070E9B" w14:textId="5052318B" w:rsidTr="0085530D">
        <w:trPr>
          <w:trHeight w:val="253"/>
        </w:trPr>
        <w:tc>
          <w:tcPr>
            <w:tcW w:w="381" w:type="pct"/>
            <w:shd w:val="clear" w:color="auto" w:fill="auto"/>
            <w:hideMark/>
          </w:tcPr>
          <w:p w14:paraId="7C7FF61B" w14:textId="25101E21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3658" w:type="pct"/>
            <w:shd w:val="clear" w:color="auto" w:fill="auto"/>
            <w:hideMark/>
          </w:tcPr>
          <w:p w14:paraId="54117600" w14:textId="715A3FD2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Prihodi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od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upravnih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administrativnih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pristojbi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pristojbi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po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posebnim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propisima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naknada</w:t>
            </w:r>
            <w:proofErr w:type="spellEnd"/>
          </w:p>
        </w:tc>
        <w:tc>
          <w:tcPr>
            <w:tcW w:w="961" w:type="pct"/>
            <w:tcBorders>
              <w:top w:val="nil"/>
            </w:tcBorders>
            <w:shd w:val="clear" w:color="auto" w:fill="auto"/>
            <w:hideMark/>
          </w:tcPr>
          <w:p w14:paraId="3CE8B225" w14:textId="351F8667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2.120.000,00</w:t>
            </w:r>
          </w:p>
        </w:tc>
      </w:tr>
      <w:tr w:rsidR="0085530D" w:rsidRPr="00E44551" w14:paraId="34962E3C" w14:textId="45665253" w:rsidTr="0085530D">
        <w:trPr>
          <w:trHeight w:val="253"/>
        </w:trPr>
        <w:tc>
          <w:tcPr>
            <w:tcW w:w="381" w:type="pct"/>
            <w:shd w:val="clear" w:color="auto" w:fill="auto"/>
            <w:noWrap/>
            <w:hideMark/>
          </w:tcPr>
          <w:p w14:paraId="17C82FFF" w14:textId="196378DF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3658" w:type="pct"/>
            <w:shd w:val="clear" w:color="auto" w:fill="auto"/>
            <w:hideMark/>
          </w:tcPr>
          <w:p w14:paraId="75E5FB63" w14:textId="3C4D30D4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Prihodi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od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prodaje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proizvoda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i robe te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pruženih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usluga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prihodi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od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donacija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te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povrati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po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protestiranim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jamstvima</w:t>
            </w:r>
            <w:proofErr w:type="spellEnd"/>
          </w:p>
        </w:tc>
        <w:tc>
          <w:tcPr>
            <w:tcW w:w="961" w:type="pct"/>
            <w:tcBorders>
              <w:top w:val="nil"/>
            </w:tcBorders>
            <w:shd w:val="clear" w:color="auto" w:fill="auto"/>
            <w:hideMark/>
          </w:tcPr>
          <w:p w14:paraId="12E9F62F" w14:textId="3FED0D34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203.345,29</w:t>
            </w:r>
          </w:p>
        </w:tc>
      </w:tr>
      <w:tr w:rsidR="0085530D" w:rsidRPr="00E44551" w14:paraId="20C4EF66" w14:textId="6C4C2F98" w:rsidTr="0085530D">
        <w:trPr>
          <w:trHeight w:val="253"/>
        </w:trPr>
        <w:tc>
          <w:tcPr>
            <w:tcW w:w="381" w:type="pct"/>
            <w:shd w:val="clear" w:color="auto" w:fill="auto"/>
            <w:noWrap/>
            <w:hideMark/>
          </w:tcPr>
          <w:p w14:paraId="00788061" w14:textId="68B8A09A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bookmarkStart w:id="6" w:name="_Hlk119426615"/>
            <w:r w:rsidRPr="00E44551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658" w:type="pct"/>
            <w:shd w:val="clear" w:color="auto" w:fill="auto"/>
            <w:hideMark/>
          </w:tcPr>
          <w:p w14:paraId="29E1AEC7" w14:textId="392A2841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Kazne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upravne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mjere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i ostali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prihodi</w:t>
            </w:r>
            <w:proofErr w:type="spellEnd"/>
          </w:p>
        </w:tc>
        <w:tc>
          <w:tcPr>
            <w:tcW w:w="961" w:type="pct"/>
            <w:tcBorders>
              <w:top w:val="nil"/>
            </w:tcBorders>
            <w:shd w:val="clear" w:color="auto" w:fill="auto"/>
            <w:hideMark/>
          </w:tcPr>
          <w:p w14:paraId="51FAE235" w14:textId="24420F21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</w:tr>
      <w:bookmarkEnd w:id="6"/>
      <w:tr w:rsidR="0085530D" w:rsidRPr="00E44551" w14:paraId="1766670F" w14:textId="1DC882EB" w:rsidTr="0085530D">
        <w:trPr>
          <w:trHeight w:val="253"/>
        </w:trPr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264A6A6" w14:textId="4885B19C" w:rsidR="0085530D" w:rsidRPr="00E44551" w:rsidRDefault="0085530D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8</w:t>
            </w:r>
          </w:p>
        </w:tc>
        <w:tc>
          <w:tcPr>
            <w:tcW w:w="3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A59F63C" w14:textId="1151D112" w:rsidR="0085530D" w:rsidRPr="00E44551" w:rsidRDefault="0085530D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 xml:space="preserve">Primici od financijske imovine i zaduživanja 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484406" w14:textId="7DC128CD" w:rsidR="0085530D" w:rsidRPr="00E44551" w:rsidRDefault="0085530D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295.421,58</w:t>
            </w:r>
          </w:p>
        </w:tc>
      </w:tr>
      <w:tr w:rsidR="0085530D" w:rsidRPr="00E44551" w14:paraId="558ACA74" w14:textId="054B55DF" w:rsidTr="0085530D">
        <w:trPr>
          <w:trHeight w:val="253"/>
        </w:trPr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10299A" w14:textId="0C28AB42" w:rsidR="0085530D" w:rsidRPr="00E44551" w:rsidRDefault="0085530D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81</w:t>
            </w:r>
          </w:p>
        </w:tc>
        <w:tc>
          <w:tcPr>
            <w:tcW w:w="3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18F88C" w14:textId="27B3F81D" w:rsidR="0085530D" w:rsidRPr="00E44551" w:rsidRDefault="0085530D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Povrati sa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oročenja</w:t>
            </w:r>
            <w:proofErr w:type="spellEnd"/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3F997" w14:textId="6335505D" w:rsidR="0085530D" w:rsidRPr="00E44551" w:rsidRDefault="0085530D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295.421,58</w:t>
            </w:r>
          </w:p>
        </w:tc>
      </w:tr>
      <w:tr w:rsidR="0085530D" w:rsidRPr="00E44551" w14:paraId="5949D4A1" w14:textId="05C4FE5E" w:rsidTr="0085530D">
        <w:trPr>
          <w:trHeight w:val="253"/>
        </w:trPr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E20D9A5" w14:textId="77777777" w:rsidR="0085530D" w:rsidRPr="00E44551" w:rsidRDefault="0085530D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3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0D4A749F" w14:textId="77777777" w:rsidR="0085530D" w:rsidRPr="00E44551" w:rsidRDefault="0085530D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SVEUKUPNO PRIHODI: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68BDE4" w14:textId="672A5D3D" w:rsidR="0085530D" w:rsidRPr="00E44551" w:rsidRDefault="0085530D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12.138.166,87</w:t>
            </w:r>
          </w:p>
        </w:tc>
      </w:tr>
    </w:tbl>
    <w:p w14:paraId="006F079F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E841E27" w14:textId="6BF79A19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Najznačajniji udio u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prihodima poslovanja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su prihodi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skupine 61, </w:t>
      </w:r>
      <w:r w:rsidR="00CE0B04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rihodi od poreza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1F504B" w:rsidRPr="00E44551">
        <w:rPr>
          <w:rFonts w:ascii="Arial" w:eastAsia="Calibri" w:hAnsi="Arial" w:cs="Arial"/>
          <w:sz w:val="22"/>
          <w:szCs w:val="22"/>
          <w:lang w:val="hr-HR"/>
        </w:rPr>
        <w:t xml:space="preserve">7.410.300,00 </w:t>
      </w:r>
      <w:proofErr w:type="spellStart"/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Najveći dio planiranih prihoda od poreza odnosi se na prihod na osnovi dodijeljenog udjela u porezu na dohodak od nesamostalnog rada, u iznosu od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5.500.000,00 </w:t>
      </w:r>
      <w:proofErr w:type="spellStart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D858B45" w14:textId="052D418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Ostali dio odnosi se na prihod poreza na promet nekretnina na području naše općine u iznosu od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1.700.000,00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prihode od poreza na kuće za odmor u iznosu od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80.000,00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dok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 se od poreza na potrošnju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 uprihoditi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13.000,00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19BAA4F" w14:textId="041D9A8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Prihodi Pomoći iz inozemstva i od subjekata unutar općeg proračuna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- skupina 63</w:t>
      </w:r>
      <w:r w:rsidR="00B85FDE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B85FDE" w:rsidRPr="00E44551">
        <w:rPr>
          <w:rFonts w:ascii="Arial" w:eastAsia="Calibri" w:hAnsi="Arial" w:cs="Arial"/>
          <w:sz w:val="22"/>
          <w:szCs w:val="22"/>
          <w:lang w:val="hr-HR"/>
        </w:rPr>
        <w:t>planirani su u ukupnom iznosu</w:t>
      </w:r>
      <w:r w:rsidR="00B85FDE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B85FDE"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="00771A72" w:rsidRPr="00E44551">
        <w:rPr>
          <w:rFonts w:ascii="Arial" w:hAnsi="Arial" w:cs="Arial"/>
          <w:sz w:val="22"/>
          <w:szCs w:val="22"/>
          <w:lang w:val="hr-HR"/>
        </w:rPr>
        <w:t xml:space="preserve">1.693.800,00 </w:t>
      </w:r>
      <w:proofErr w:type="spellStart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Pomoći Splitsko-dalmatinske Županije za sanaciju obalnog podr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učja,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sanaciju i </w:t>
      </w:r>
      <w:proofErr w:type="spellStart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prihranu</w:t>
      </w:r>
      <w:proofErr w:type="spellEnd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 plaže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planirane su u iznosu od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300.000,00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iznos od 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500.000,00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 je kao kapitalna pomoć Županije za sportsku dvoranu u vlasništvu Općine</w:t>
      </w:r>
      <w:r w:rsidR="00715FC0" w:rsidRPr="00E44551">
        <w:rPr>
          <w:rFonts w:ascii="Arial" w:eastAsia="Calibri" w:hAnsi="Arial" w:cs="Arial"/>
          <w:sz w:val="22"/>
          <w:szCs w:val="22"/>
          <w:lang w:val="hr-HR"/>
        </w:rPr>
        <w:t xml:space="preserve"> te iznos od 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328.500,00 </w:t>
      </w:r>
      <w:proofErr w:type="spellStart"/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715FC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 je kao pomoć Državnog proračuna za vrtiće i vatrogastvo.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Pomoći izravnanja za decentralizirane funkcije u iznosu od 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255.300,00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odnosi se na financiranje rada JVP Podstrana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Tekuće pomoći od institucija i tijela  EU u iznosu od 310.000,00 </w:t>
      </w:r>
      <w:proofErr w:type="spellStart"/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biti će refundirane Općini za projekt RESISTANCE koji je završio u kolovozu 2023. godine.</w:t>
      </w:r>
    </w:p>
    <w:p w14:paraId="7BE18A83" w14:textId="6BA3FB71" w:rsidR="004C05C7" w:rsidRPr="00E44551" w:rsidRDefault="00A64A83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 xml:space="preserve">Skupina 64- </w:t>
      </w:r>
      <w:r w:rsidR="004C05C7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Prihodi od imovine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su planirani u iznosu od 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385.300,00 </w:t>
      </w:r>
      <w:proofErr w:type="spellStart"/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, a najveći dio se odnosi na naknade za izdane koncesije i koncesijska odobrenja na pomorskom dobru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270.000,00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</w:p>
    <w:p w14:paraId="168BC080" w14:textId="5C8A8B76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Ostali prihodi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115.300,00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odnose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se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na prihode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od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zakupa nekretnina, 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prihode od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kamata na oročena sredstva, zateznih kamata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te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naknada za korištenje infrastrukture položene u nerazvrstane ceste u vlasništvu Općine Podstrana.</w:t>
      </w:r>
    </w:p>
    <w:p w14:paraId="0A649A30" w14:textId="6CA868D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upravnih i administrativnih prihoda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 skupini 65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očekuju se prihodi u iznosu od 2.120.000,00 </w:t>
      </w:r>
      <w:proofErr w:type="spellStart"/>
      <w:r w:rsidR="00BB0CF3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a najveći dio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300.000,00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se odnosi na naknadu za dodjelu grobnog mjesta na korištenje na neodređeno vrijeme.</w:t>
      </w:r>
    </w:p>
    <w:p w14:paraId="507BD2F1" w14:textId="59B5865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Udio od boravišne pristojbe</w:t>
      </w:r>
      <w:r w:rsidR="00BB0CF3"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je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180.000,00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20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.000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 ostalih pristojbi.</w:t>
      </w:r>
    </w:p>
    <w:p w14:paraId="39584789" w14:textId="4B6B73CE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prihoda po posebnim propisima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se planira uprihoditi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20.000,00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a odnose se na prihode od vodnog doprinosa i ostalih prihoda po posebnim propisima.</w:t>
      </w:r>
    </w:p>
    <w:p w14:paraId="0ABD2066" w14:textId="3B80ED3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Od komunalnih doprinosa i naknada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se planira uprihoditi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1.600.000,00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tj.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900.000,00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 komunalnog doprinos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700.000,00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 komunalne naknade.</w:t>
      </w:r>
    </w:p>
    <w:p w14:paraId="1490A36D" w14:textId="104BDC38" w:rsidR="004C05C7" w:rsidRPr="00E44551" w:rsidRDefault="0031473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Ukupan i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znos prihoda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od 203.345,29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661792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 skupini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66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Prihodi od prodaje proizvoda i robe te pruženih usluga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odnosi se na prihod od naplate parkinga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55.000,00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prihod od iznajmljivanja bicikli u iznosu od 2.000,00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, prihod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proofErr w:type="spellStart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grobarina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i ukopa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55.000,00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te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iznos od 50.000,00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 se od naknade za vođenje posla evidentiranja i naplate naknade za uređenje voda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Iznos od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26.700,00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planira se kao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vlastiti prihod JVP Podstrana.</w:t>
      </w:r>
    </w:p>
    <w:p w14:paraId="0BDA532F" w14:textId="3A3FF423" w:rsidR="004C05C7" w:rsidRPr="00E44551" w:rsidRDefault="00A24AA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Od kazni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za prometne prekršaje planira</w:t>
      </w:r>
      <w:r w:rsidR="00314734" w:rsidRPr="00E44551">
        <w:rPr>
          <w:rFonts w:ascii="Arial" w:eastAsia="Calibri" w:hAnsi="Arial" w:cs="Arial"/>
          <w:sz w:val="22"/>
          <w:szCs w:val="22"/>
          <w:lang w:val="hr-HR"/>
        </w:rPr>
        <w:t xml:space="preserve"> se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uprihoditi 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30.000,00</w:t>
      </w:r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1B5E998" w14:textId="61E147B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Primici od financijske imovine i zaduživanja</w:t>
      </w:r>
      <w:r w:rsidR="00A64A83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- </w:t>
      </w:r>
      <w:r w:rsidR="00A64A83" w:rsidRPr="00E44551">
        <w:rPr>
          <w:rFonts w:ascii="Arial" w:eastAsia="Calibri" w:hAnsi="Arial" w:cs="Arial"/>
          <w:b/>
          <w:sz w:val="22"/>
          <w:szCs w:val="22"/>
          <w:lang w:val="hr-HR"/>
        </w:rPr>
        <w:t>skupina 68</w:t>
      </w:r>
      <w:r w:rsidR="00A64A83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su planirani u iznosu od </w:t>
      </w:r>
      <w:r w:rsidR="009F4FC1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295.421,58 </w:t>
      </w:r>
      <w:proofErr w:type="spellStart"/>
      <w:r w:rsidR="00314734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="009F4FC1" w:rsidRPr="00E44551">
        <w:rPr>
          <w:rFonts w:ascii="Arial" w:eastAsia="Calibri" w:hAnsi="Arial" w:cs="Arial"/>
          <w:bCs/>
          <w:sz w:val="22"/>
          <w:szCs w:val="22"/>
          <w:lang w:val="hr-HR"/>
        </w:rPr>
        <w:t>, a isti</w:t>
      </w:r>
      <w:r w:rsidR="00314734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se o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dnose na povrat oročenih sredstava na štednom računu u poslovnoj banci.</w:t>
      </w:r>
    </w:p>
    <w:p w14:paraId="1B3DDFBD" w14:textId="622F738B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2) RASHODI I IZDACI</w:t>
      </w:r>
    </w:p>
    <w:p w14:paraId="05BA8B5C" w14:textId="5A22D5D3" w:rsidR="004C05C7" w:rsidRPr="00E44551" w:rsidRDefault="00661792" w:rsidP="00A64A83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Prijedlogom Proračuna Općine Podstrana za 202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4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godinu planiraju se ukupni rashodi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 xml:space="preserve"> iskazani po ekonomskoj klasifikaciji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kako slijedi</w:t>
      </w:r>
    </w:p>
    <w:p w14:paraId="4FBC932F" w14:textId="4AC981D8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</w:p>
    <w:tbl>
      <w:tblPr>
        <w:tblW w:w="4877" w:type="pct"/>
        <w:tblLook w:val="04A0" w:firstRow="1" w:lastRow="0" w:firstColumn="1" w:lastColumn="0" w:noHBand="0" w:noVBand="1"/>
      </w:tblPr>
      <w:tblGrid>
        <w:gridCol w:w="1506"/>
        <w:gridCol w:w="213"/>
        <w:gridCol w:w="7065"/>
        <w:gridCol w:w="5420"/>
      </w:tblGrid>
      <w:tr w:rsidR="009F4FC1" w:rsidRPr="00E44551" w14:paraId="11AA424A" w14:textId="124F3A73" w:rsidTr="0085530D">
        <w:trPr>
          <w:trHeight w:val="269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10674433" w14:textId="747F7024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64B00F00" w14:textId="49FED76B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Rashodi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3C4EDD" w14:textId="637A3281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8.095.725,29</w:t>
            </w:r>
          </w:p>
        </w:tc>
      </w:tr>
      <w:tr w:rsidR="009F4FC1" w:rsidRPr="00E44551" w14:paraId="4E880A85" w14:textId="0E1482A5" w:rsidTr="0085530D">
        <w:trPr>
          <w:trHeight w:val="486"/>
        </w:trPr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BBDC7BB" w14:textId="60957460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56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AA42946" w14:textId="3824B051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Rashodi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zaposlene</w:t>
            </w:r>
            <w:proofErr w:type="spellEnd"/>
          </w:p>
        </w:tc>
        <w:tc>
          <w:tcPr>
            <w:tcW w:w="190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6D04231" w14:textId="208E9CDF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1.502.345,29</w:t>
            </w:r>
          </w:p>
        </w:tc>
      </w:tr>
      <w:tr w:rsidR="009F4FC1" w:rsidRPr="00E44551" w14:paraId="3BDB127E" w14:textId="3841EB29" w:rsidTr="0085530D">
        <w:trPr>
          <w:trHeight w:val="434"/>
        </w:trPr>
        <w:tc>
          <w:tcPr>
            <w:tcW w:w="530" w:type="pct"/>
            <w:shd w:val="clear" w:color="auto" w:fill="auto"/>
            <w:hideMark/>
          </w:tcPr>
          <w:p w14:paraId="54087D69" w14:textId="1524B949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562" w:type="pct"/>
            <w:gridSpan w:val="2"/>
            <w:shd w:val="clear" w:color="auto" w:fill="auto"/>
            <w:hideMark/>
          </w:tcPr>
          <w:p w14:paraId="64C010F7" w14:textId="34202C65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Materijalni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rashodi</w:t>
            </w:r>
            <w:proofErr w:type="spellEnd"/>
          </w:p>
        </w:tc>
        <w:tc>
          <w:tcPr>
            <w:tcW w:w="1908" w:type="pct"/>
            <w:tcBorders>
              <w:top w:val="nil"/>
            </w:tcBorders>
            <w:shd w:val="clear" w:color="auto" w:fill="auto"/>
            <w:hideMark/>
          </w:tcPr>
          <w:p w14:paraId="3757BC2E" w14:textId="1A41EFCF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3.726.330,00</w:t>
            </w:r>
          </w:p>
        </w:tc>
      </w:tr>
      <w:tr w:rsidR="009F4FC1" w:rsidRPr="00E44551" w14:paraId="2E1FD3ED" w14:textId="6E71020D" w:rsidTr="0085530D">
        <w:trPr>
          <w:trHeight w:val="269"/>
        </w:trPr>
        <w:tc>
          <w:tcPr>
            <w:tcW w:w="530" w:type="pct"/>
            <w:shd w:val="clear" w:color="auto" w:fill="auto"/>
            <w:hideMark/>
          </w:tcPr>
          <w:p w14:paraId="5E61472F" w14:textId="166A5CAC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562" w:type="pct"/>
            <w:gridSpan w:val="2"/>
            <w:shd w:val="clear" w:color="auto" w:fill="auto"/>
            <w:hideMark/>
          </w:tcPr>
          <w:p w14:paraId="54F4C6FD" w14:textId="759AB17B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Financijski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rashodi</w:t>
            </w:r>
            <w:proofErr w:type="spellEnd"/>
          </w:p>
        </w:tc>
        <w:tc>
          <w:tcPr>
            <w:tcW w:w="1908" w:type="pct"/>
            <w:tcBorders>
              <w:top w:val="nil"/>
            </w:tcBorders>
            <w:shd w:val="clear" w:color="auto" w:fill="auto"/>
            <w:hideMark/>
          </w:tcPr>
          <w:p w14:paraId="4D82CDD9" w14:textId="3621B27A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22.300,00</w:t>
            </w:r>
          </w:p>
        </w:tc>
      </w:tr>
      <w:tr w:rsidR="009F4FC1" w:rsidRPr="00E44551" w14:paraId="382F85AC" w14:textId="4A34D80D" w:rsidTr="0085530D">
        <w:trPr>
          <w:trHeight w:val="269"/>
        </w:trPr>
        <w:tc>
          <w:tcPr>
            <w:tcW w:w="530" w:type="pct"/>
            <w:shd w:val="clear" w:color="auto" w:fill="auto"/>
          </w:tcPr>
          <w:p w14:paraId="1611F9A0" w14:textId="41F701F5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562" w:type="pct"/>
            <w:gridSpan w:val="2"/>
            <w:shd w:val="clear" w:color="auto" w:fill="auto"/>
          </w:tcPr>
          <w:p w14:paraId="4AA23063" w14:textId="3BEAF846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Subvencije</w:t>
            </w:r>
            <w:proofErr w:type="spellEnd"/>
          </w:p>
        </w:tc>
        <w:tc>
          <w:tcPr>
            <w:tcW w:w="1908" w:type="pct"/>
            <w:tcBorders>
              <w:top w:val="nil"/>
            </w:tcBorders>
            <w:shd w:val="clear" w:color="auto" w:fill="auto"/>
          </w:tcPr>
          <w:p w14:paraId="4B2727D2" w14:textId="7383F918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1.340.000,00</w:t>
            </w:r>
          </w:p>
        </w:tc>
      </w:tr>
      <w:tr w:rsidR="009F4FC1" w:rsidRPr="00E44551" w14:paraId="5AB1A5B4" w14:textId="12A032C7" w:rsidTr="0085530D">
        <w:trPr>
          <w:trHeight w:val="269"/>
        </w:trPr>
        <w:tc>
          <w:tcPr>
            <w:tcW w:w="530" w:type="pct"/>
            <w:shd w:val="clear" w:color="auto" w:fill="auto"/>
            <w:noWrap/>
          </w:tcPr>
          <w:p w14:paraId="1227DDEC" w14:textId="4BA03212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562" w:type="pct"/>
            <w:gridSpan w:val="2"/>
            <w:shd w:val="clear" w:color="auto" w:fill="auto"/>
          </w:tcPr>
          <w:p w14:paraId="1E795052" w14:textId="314623E7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hr-HR"/>
              </w:rPr>
              <w:t>Pomoći dane u inozemstvo i unutar općeg proračuna</w:t>
            </w:r>
          </w:p>
        </w:tc>
        <w:tc>
          <w:tcPr>
            <w:tcW w:w="1908" w:type="pct"/>
            <w:tcBorders>
              <w:top w:val="nil"/>
            </w:tcBorders>
            <w:shd w:val="clear" w:color="auto" w:fill="auto"/>
          </w:tcPr>
          <w:p w14:paraId="2F0B2C5D" w14:textId="1CA9F243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42.450,00</w:t>
            </w:r>
          </w:p>
        </w:tc>
      </w:tr>
      <w:tr w:rsidR="009F4FC1" w:rsidRPr="00E44551" w14:paraId="2E568301" w14:textId="7B9BCF47" w:rsidTr="0085530D">
        <w:trPr>
          <w:trHeight w:val="269"/>
        </w:trPr>
        <w:tc>
          <w:tcPr>
            <w:tcW w:w="530" w:type="pct"/>
            <w:shd w:val="clear" w:color="auto" w:fill="auto"/>
            <w:noWrap/>
            <w:hideMark/>
          </w:tcPr>
          <w:p w14:paraId="6C2ED3E3" w14:textId="5C19B1A1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lastRenderedPageBreak/>
              <w:t>37</w:t>
            </w:r>
          </w:p>
        </w:tc>
        <w:tc>
          <w:tcPr>
            <w:tcW w:w="2562" w:type="pct"/>
            <w:gridSpan w:val="2"/>
            <w:shd w:val="clear" w:color="auto" w:fill="auto"/>
            <w:hideMark/>
          </w:tcPr>
          <w:p w14:paraId="5B83A213" w14:textId="4B0FF81A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hr-HR"/>
              </w:rPr>
              <w:t>Naknade građanima i kućanstvima na temelju osiguranja i druge naknade</w:t>
            </w:r>
          </w:p>
        </w:tc>
        <w:tc>
          <w:tcPr>
            <w:tcW w:w="1908" w:type="pct"/>
            <w:tcBorders>
              <w:top w:val="nil"/>
            </w:tcBorders>
            <w:shd w:val="clear" w:color="auto" w:fill="auto"/>
            <w:hideMark/>
          </w:tcPr>
          <w:p w14:paraId="63EDA16B" w14:textId="2E905889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437.000,00</w:t>
            </w:r>
          </w:p>
        </w:tc>
      </w:tr>
      <w:tr w:rsidR="009F4FC1" w:rsidRPr="00E44551" w14:paraId="4906EB15" w14:textId="7C295AB0" w:rsidTr="0085530D">
        <w:trPr>
          <w:trHeight w:val="269"/>
        </w:trPr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7EC7DE0" w14:textId="33A9BF54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562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6A5E346" w14:textId="19654839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Ostali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rashodi</w:t>
            </w:r>
            <w:proofErr w:type="spellEnd"/>
          </w:p>
        </w:tc>
        <w:tc>
          <w:tcPr>
            <w:tcW w:w="1908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350CD9A9" w14:textId="0756AEA1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1.025.300,00</w:t>
            </w:r>
          </w:p>
        </w:tc>
      </w:tr>
      <w:tr w:rsidR="009F4FC1" w:rsidRPr="00E44551" w14:paraId="164F50AA" w14:textId="7819FCF6" w:rsidTr="0085530D">
        <w:trPr>
          <w:trHeight w:val="269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2975516F" w14:textId="039F8C70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14C1C9C5" w14:textId="6E0B3B52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Rashodi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nabavu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nefinancijske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66581D" w14:textId="68FACCA4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6.115.000,00</w:t>
            </w:r>
          </w:p>
        </w:tc>
      </w:tr>
      <w:tr w:rsidR="009F4FC1" w:rsidRPr="00E44551" w14:paraId="68106CA1" w14:textId="608F8E3C" w:rsidTr="0085530D">
        <w:trPr>
          <w:trHeight w:val="269"/>
        </w:trPr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</w:tcPr>
          <w:p w14:paraId="7BD65475" w14:textId="53159541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256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731060" w14:textId="21E6D4DE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Rashodi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nabavu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neproizvedene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dugotrajne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908" w:type="pct"/>
            <w:tcBorders>
              <w:top w:val="single" w:sz="4" w:space="0" w:color="auto"/>
            </w:tcBorders>
            <w:shd w:val="clear" w:color="auto" w:fill="auto"/>
          </w:tcPr>
          <w:p w14:paraId="21482717" w14:textId="054087AD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1.764.000,00</w:t>
            </w:r>
          </w:p>
        </w:tc>
      </w:tr>
      <w:tr w:rsidR="009F4FC1" w:rsidRPr="00E44551" w14:paraId="3E641D7D" w14:textId="6E2BFC27" w:rsidTr="0085530D">
        <w:trPr>
          <w:trHeight w:val="269"/>
        </w:trPr>
        <w:tc>
          <w:tcPr>
            <w:tcW w:w="530" w:type="pct"/>
            <w:shd w:val="clear" w:color="auto" w:fill="auto"/>
            <w:hideMark/>
          </w:tcPr>
          <w:p w14:paraId="59243D12" w14:textId="308C9CF2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2562" w:type="pct"/>
            <w:gridSpan w:val="2"/>
            <w:shd w:val="clear" w:color="auto" w:fill="auto"/>
            <w:hideMark/>
          </w:tcPr>
          <w:p w14:paraId="5E47BA8C" w14:textId="1688D24F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Rashodi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nabavu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proizvedene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dugotrajne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908" w:type="pct"/>
            <w:tcBorders>
              <w:top w:val="nil"/>
            </w:tcBorders>
            <w:shd w:val="clear" w:color="auto" w:fill="auto"/>
            <w:hideMark/>
          </w:tcPr>
          <w:p w14:paraId="00CC72FE" w14:textId="793E5C09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2.294.000,00</w:t>
            </w:r>
          </w:p>
        </w:tc>
      </w:tr>
      <w:tr w:rsidR="009F4FC1" w:rsidRPr="00E44551" w14:paraId="4044A2A6" w14:textId="37EC410A" w:rsidTr="0085530D">
        <w:trPr>
          <w:trHeight w:val="269"/>
        </w:trPr>
        <w:tc>
          <w:tcPr>
            <w:tcW w:w="530" w:type="pct"/>
            <w:shd w:val="clear" w:color="auto" w:fill="auto"/>
            <w:hideMark/>
          </w:tcPr>
          <w:p w14:paraId="21CC2C7D" w14:textId="6E681BFB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562" w:type="pct"/>
            <w:gridSpan w:val="2"/>
            <w:shd w:val="clear" w:color="auto" w:fill="auto"/>
            <w:hideMark/>
          </w:tcPr>
          <w:p w14:paraId="30D381D1" w14:textId="2DA1A482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hr-HR"/>
              </w:rPr>
              <w:t>Rashodi za dodatna ulaganja na nefinancijskoj imovini</w:t>
            </w:r>
          </w:p>
        </w:tc>
        <w:tc>
          <w:tcPr>
            <w:tcW w:w="1908" w:type="pct"/>
            <w:tcBorders>
              <w:top w:val="nil"/>
            </w:tcBorders>
            <w:shd w:val="clear" w:color="auto" w:fill="auto"/>
            <w:hideMark/>
          </w:tcPr>
          <w:p w14:paraId="3D27F090" w14:textId="3C314F51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2.0</w:t>
            </w:r>
            <w:r w:rsidR="00F668C8" w:rsidRPr="00E44551">
              <w:rPr>
                <w:rFonts w:ascii="Arial" w:hAnsi="Arial" w:cs="Arial"/>
                <w:sz w:val="22"/>
                <w:szCs w:val="22"/>
              </w:rPr>
              <w:t>9</w:t>
            </w:r>
            <w:r w:rsidRPr="00E44551">
              <w:rPr>
                <w:rFonts w:ascii="Arial" w:hAnsi="Arial" w:cs="Arial"/>
                <w:sz w:val="22"/>
                <w:szCs w:val="22"/>
              </w:rPr>
              <w:t>7.000,00</w:t>
            </w:r>
          </w:p>
        </w:tc>
      </w:tr>
      <w:tr w:rsidR="009F4FC1" w:rsidRPr="00E44551" w14:paraId="420D97AD" w14:textId="62834316" w:rsidTr="0085530D">
        <w:trPr>
          <w:trHeight w:val="269"/>
        </w:trPr>
        <w:tc>
          <w:tcPr>
            <w:tcW w:w="6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24208815" w14:textId="77777777" w:rsidR="009F4FC1" w:rsidRPr="00E44551" w:rsidRDefault="009F4FC1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0F1155F0" w14:textId="77777777" w:rsidR="009F4FC1" w:rsidRPr="00E44551" w:rsidRDefault="009F4FC1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UKUPNO RASHODI:</w:t>
            </w:r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271A9688" w14:textId="539C1805" w:rsidR="009F4FC1" w:rsidRPr="00E44551" w:rsidRDefault="009F4FC1" w:rsidP="00C711A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14.210.725,29</w:t>
            </w:r>
          </w:p>
        </w:tc>
      </w:tr>
    </w:tbl>
    <w:p w14:paraId="1E80B18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1719DBA" w14:textId="77777777" w:rsidR="009F4FC1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iznos 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rashoda i izdataka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proračuna za 202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4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godinu raspodijeljen je na slijedeće vrste rashoda:</w:t>
      </w:r>
    </w:p>
    <w:p w14:paraId="1915C2E6" w14:textId="2C3CBCD6" w:rsidR="009F4FC1" w:rsidRPr="00E44551" w:rsidRDefault="009F4FC1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zaposlene- skupina 31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planiraju se u iznosu od 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1.502.345,29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što predstavlja 18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% u odnosu na rashode poslovanja te uz službenike i namještenike općinske uprave, obuhvaćaju i rashode za zaposlene u JVP Podstrana u iznosu od 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540.800,00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Rashodi za zaposlene obuhvaćaju plaće, doprinose za mirovinsko i zdravstveno osiguranje te ostale rashode propisane odredbama Pravilnika o radu i Kolektivnog ugovora.</w:t>
      </w:r>
    </w:p>
    <w:p w14:paraId="0C84BE67" w14:textId="77777777" w:rsidR="0024118D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Materijalni rashodi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u skupini 32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koji kao najveći dio rashoda poslovanja ukupno čine 4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6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% rashoda poslovanja, odnosno 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3.726.330,00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N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ajveći udjel 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u materijalnim rashodima su rashodi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usluge u iznosu od 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3.031.380,00 </w:t>
      </w:r>
      <w:proofErr w:type="spellStart"/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a odnose se na usluge tekućeg i investicijskog održavanja (popravke) </w:t>
      </w:r>
      <w:r w:rsidR="00F1640D" w:rsidRPr="00E44551">
        <w:rPr>
          <w:rFonts w:ascii="Arial" w:eastAsia="Calibri" w:hAnsi="Arial" w:cs="Arial"/>
          <w:sz w:val="22"/>
          <w:szCs w:val="22"/>
          <w:lang w:val="hr-HR"/>
        </w:rPr>
        <w:t>uredske opreme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 i</w:t>
      </w:r>
      <w:r w:rsidR="00F1640D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objekata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- 2.329.000,00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komunalne usluge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- 81.900,00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, intelektualne i osobne usluge- 351.790,00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i druge rashode 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na ime usluga pošte, promidžbe, zakupnina i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najmanina</w:t>
      </w:r>
      <w:proofErr w:type="spellEnd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, zdravstvene i veterinarske usluge, računalne usluge i ostalo- 268.690,00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368BB6FE" w14:textId="74EAEA0A" w:rsidR="004C05C7" w:rsidRPr="00E44551" w:rsidRDefault="0024118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Naknade troškova zaposlenima planirane su u iznosu od 25.600,00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rashodi za materijal i energiju planiraju se u iznosu od 424.450,00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naknade za troškove osobama izvan radnog odnosa planiraju se u iznosu od 500,00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a za ostale rashode poslovanja planira se iznos od 244.400,00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</w:t>
      </w:r>
    </w:p>
    <w:p w14:paraId="4CF7A23E" w14:textId="7378E4F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Financijski rashodi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- skupina 34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se planiraj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u u iznosu od 22.300,00 </w:t>
      </w:r>
      <w:proofErr w:type="spellStart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a odnose se na financijske rashode za bankarske usluge i povezane usluge platnog prometa.</w:t>
      </w:r>
    </w:p>
    <w:p w14:paraId="53180A33" w14:textId="6ABFFDE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Rashodi u 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skupini 35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Subvencije 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planiraju se</w:t>
      </w:r>
      <w:r w:rsidR="00360F15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1.340.000,00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 Rashodi iz ove skupine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odnose se na subvencije poduzeću Promet d.o.o. kao subvencija prijevoza naših mještana javnim gradskim prometom na području Općine Pod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strana i grada Splita u iznosu 220.000,00 </w:t>
      </w:r>
      <w:proofErr w:type="spellStart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C4C3306" w14:textId="2A2EBFD2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Najveći dio subvencija, u iznosu od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1.066.000,00 </w:t>
      </w:r>
      <w:proofErr w:type="spellStart"/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odnosi se na sufinanciranje boravka djece u ustanovama koje obavljaju djelatnost odgoja i čuvanja djece.</w:t>
      </w:r>
    </w:p>
    <w:p w14:paraId="724E479E" w14:textId="2A06760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Pomoći dane u inozemstvo i unutar općeg proračuna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- skupina 36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u iznosu 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42.450,00 </w:t>
      </w:r>
      <w:proofErr w:type="spellStart"/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odnose se na financiranje rada „Gradske knjižnice Marko Marulić – Split“ knjižnica Podstrana, financiranje obnove zemljišne knjige K.O. Gornja Podstrana te prijenosa gradu Omišu u </w:t>
      </w:r>
      <w:proofErr w:type="spellStart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preojektu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izgradnje NGA mreže.</w:t>
      </w:r>
    </w:p>
    <w:p w14:paraId="401E5B74" w14:textId="367610A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lastRenderedPageBreak/>
        <w:t xml:space="preserve">U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skupini 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37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Naknade građanima i kućanstvima na temelju osiguranja i druge naknade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planirani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su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rashodi u iznosu od 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437.000,00 </w:t>
      </w:r>
      <w:proofErr w:type="spellStart"/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, a odnose se na program socijalne skrbi, odnosno naknade građanima u novcu kao vid jednokratne pomoći, 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mjesečne isplate novčane pomoći za troškove stanovanja osobama koje su socijalno ugrožene,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poklona za novorođenčad, kupnju knjiga za osnovnoškolce i srednjoškolce, subvenciju za prijevoz učenika i slično.</w:t>
      </w:r>
    </w:p>
    <w:p w14:paraId="67A75013" w14:textId="31F123E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skupinu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38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ostalih rashoda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se ubrajaju tekuće i kapitalne donacije organizacijama u kulturi, športu, predškolskom odgoju te vjerskim zajednicama, a ovi rashodi ukupno iznose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1.025.300,00 </w:t>
      </w:r>
      <w:proofErr w:type="spellStart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Raspored ovih tekućih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donacij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prikazati će se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 aktivnostima u posebnom dijelu proračuna.</w:t>
      </w:r>
    </w:p>
    <w:p w14:paraId="18B7C810" w14:textId="5D086786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nabavu nefinancijske imovine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</w:t>
      </w:r>
      <w:r w:rsidR="008750D8" w:rsidRPr="00E44551">
        <w:rPr>
          <w:rFonts w:ascii="Arial" w:eastAsia="Calibri" w:hAnsi="Arial" w:cs="Arial"/>
          <w:sz w:val="22"/>
          <w:szCs w:val="22"/>
          <w:lang w:val="hr-HR"/>
        </w:rPr>
        <w:t>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6.115.000,00</w:t>
      </w:r>
      <w:r w:rsidR="00B845CA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raspoređeni su u slijedeće skupine:</w:t>
      </w:r>
    </w:p>
    <w:p w14:paraId="6944298A" w14:textId="7B1145C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Rashodi za nabavu </w:t>
      </w:r>
      <w:proofErr w:type="spellStart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neproizvedene</w:t>
      </w:r>
      <w:proofErr w:type="spellEnd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dugotrajne imovine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skupine 41 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u iznosu od </w:t>
      </w:r>
      <w:r w:rsidR="007364D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1.764.000,00 </w:t>
      </w:r>
      <w:proofErr w:type="spellStart"/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odnose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 xml:space="preserve"> se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na kupnju zemljišta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 xml:space="preserve">i </w:t>
      </w:r>
      <w:r w:rsidR="008750D8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su u sljedećim iznosima i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za</w:t>
      </w:r>
      <w:r w:rsidR="008750D8" w:rsidRPr="00E44551">
        <w:rPr>
          <w:rFonts w:ascii="Arial" w:eastAsia="Calibri" w:hAnsi="Arial" w:cs="Arial"/>
          <w:sz w:val="22"/>
          <w:szCs w:val="22"/>
          <w:lang w:val="hr-HR"/>
        </w:rPr>
        <w:t xml:space="preserve"> sljedeće namjene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: </w:t>
      </w:r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>n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aknada za izvlaštenje </w:t>
      </w:r>
      <w:r w:rsidR="00356E68" w:rsidRPr="00E44551">
        <w:rPr>
          <w:rFonts w:ascii="Arial" w:eastAsia="Calibri" w:hAnsi="Arial" w:cs="Arial"/>
          <w:sz w:val="22"/>
          <w:szCs w:val="22"/>
          <w:lang w:val="hr-HR"/>
        </w:rPr>
        <w:t>zemljišta</w:t>
      </w:r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iznosu od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300.000,00</w:t>
      </w:r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proširenje i izgradnj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cesta u iznosu od</w:t>
      </w:r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1.164.000,00</w:t>
      </w:r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8750D8" w:rsidRPr="00E44551">
        <w:rPr>
          <w:rFonts w:ascii="Arial" w:eastAsia="Calibri" w:hAnsi="Arial" w:cs="Arial"/>
          <w:sz w:val="22"/>
          <w:szCs w:val="22"/>
          <w:lang w:val="hr-HR"/>
        </w:rPr>
        <w:t xml:space="preserve">za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izgradnju osnovne škole</w:t>
      </w:r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30.000,00</w:t>
      </w:r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za braniteljske stanove</w:t>
      </w:r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270.000,00</w:t>
      </w:r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6FA707E" w14:textId="721C2AF6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7" w:name="_Hlk530584126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nabavu proizvedene dugotrajne imovine</w:t>
      </w:r>
      <w:bookmarkEnd w:id="7"/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skupine 42 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planiraju se u iznosu od </w:t>
      </w:r>
      <w:r w:rsidR="007364D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2.294.000,00 </w:t>
      </w:r>
      <w:proofErr w:type="spellStart"/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 xml:space="preserve">, 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obuhvaćaju rashode za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izgradnju građevinskih objekata u iznosu od 1.598.000,00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, rashode za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nabavku opreme i namještaja, uređaja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strojeva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 te komunalne opreme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iznosu od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392.000,00 </w:t>
      </w:r>
      <w:proofErr w:type="spellStart"/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rashode za nabavku komunalnih vozila u iznosu od 210.000,00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 te rashode za nematerijalnu proizvedenu imovinu u iznosu od 94.000,00</w:t>
      </w:r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Detaljnija objašnjenja pojedinih stavki su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Planu građenja i okviru programske klasifikacije proračuna. </w:t>
      </w:r>
    </w:p>
    <w:p w14:paraId="3B069709" w14:textId="42B79E67" w:rsidR="00A64A83" w:rsidRPr="00E44551" w:rsidRDefault="009B5E5F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kupina rashoda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45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obuhvaća i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rashode za dodatna ulaganja na nefinancijskoj imovini,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tj. dodatna ulaganja na rekonstrukciji i proširenju javne rasvjete, nerazvrstanih cesta, groblja Ban i ostalih općinskih objekata, u sveukupnom iznosu od </w:t>
      </w:r>
      <w:r w:rsidR="000C67F2" w:rsidRPr="00E44551">
        <w:rPr>
          <w:rFonts w:ascii="Arial" w:hAnsi="Arial" w:cs="Arial"/>
          <w:sz w:val="22"/>
          <w:szCs w:val="22"/>
          <w:lang w:val="hr-HR"/>
        </w:rPr>
        <w:t>2.0</w:t>
      </w:r>
      <w:r w:rsidR="00F668C8" w:rsidRPr="00E44551">
        <w:rPr>
          <w:rFonts w:ascii="Arial" w:hAnsi="Arial" w:cs="Arial"/>
          <w:sz w:val="22"/>
          <w:szCs w:val="22"/>
          <w:lang w:val="hr-HR"/>
        </w:rPr>
        <w:t>9</w:t>
      </w:r>
      <w:r w:rsidR="000C67F2" w:rsidRPr="00E44551">
        <w:rPr>
          <w:rFonts w:ascii="Arial" w:hAnsi="Arial" w:cs="Arial"/>
          <w:sz w:val="22"/>
          <w:szCs w:val="22"/>
          <w:lang w:val="hr-HR"/>
        </w:rPr>
        <w:t xml:space="preserve">7.000,00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, od čega najveći iznos otpada na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izgradnju </w:t>
      </w:r>
      <w:r w:rsidR="003E26EC" w:rsidRPr="00E44551">
        <w:rPr>
          <w:rFonts w:ascii="Arial" w:eastAsia="Calibri" w:hAnsi="Arial" w:cs="Arial"/>
          <w:sz w:val="22"/>
          <w:szCs w:val="22"/>
          <w:lang w:val="hr-HR"/>
        </w:rPr>
        <w:t xml:space="preserve">i rekonstrukciju ulica u iznosu od 943.000,00 </w:t>
      </w:r>
      <w:proofErr w:type="spellStart"/>
      <w:r w:rsidR="003E26EC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E26EC" w:rsidRPr="00E44551">
        <w:rPr>
          <w:rFonts w:ascii="Arial" w:eastAsia="Calibri" w:hAnsi="Arial" w:cs="Arial"/>
          <w:sz w:val="22"/>
          <w:szCs w:val="22"/>
          <w:lang w:val="hr-HR"/>
        </w:rPr>
        <w:t xml:space="preserve">, izgradnju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nadstrešnice na groblju u iznosu od 500.000,00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 i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rekonstrukciju i p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oboljšanje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javne rasvjete u iznosu od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370.000,00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3AED4D6D" w14:textId="77777777" w:rsidR="002516BE" w:rsidRPr="00E44551" w:rsidRDefault="002516BE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A9E5800" w14:textId="17591C70" w:rsidR="006F4184" w:rsidRPr="00E44551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3) PRENESENI VIŠAK PRORAČUNA</w:t>
      </w:r>
    </w:p>
    <w:p w14:paraId="0FCB6F14" w14:textId="2888D2F5" w:rsidR="006F4184" w:rsidRPr="00E44551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Preneseni višak proračuna u visini od </w:t>
      </w:r>
      <w:r w:rsidR="003E26EC" w:rsidRPr="00E44551">
        <w:rPr>
          <w:rFonts w:ascii="Arial" w:eastAsia="Calibri" w:hAnsi="Arial" w:cs="Arial"/>
          <w:sz w:val="22"/>
          <w:szCs w:val="22"/>
          <w:lang w:val="hr-HR"/>
        </w:rPr>
        <w:t xml:space="preserve">2.072.558,42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odnosi se na </w:t>
      </w:r>
      <w:r w:rsidR="003E26EC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neutrošena sredstva </w:t>
      </w:r>
      <w:r w:rsidR="003E26EC" w:rsidRPr="00E44551">
        <w:rPr>
          <w:rFonts w:ascii="Arial" w:eastAsia="Calibri" w:hAnsi="Arial" w:cs="Arial"/>
          <w:sz w:val="22"/>
          <w:szCs w:val="22"/>
          <w:lang w:val="hr-HR"/>
        </w:rPr>
        <w:t>prihoda i primitaka u 2023</w:t>
      </w:r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>. godini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C9C6251" w14:textId="183EAA36" w:rsidR="004C05C7" w:rsidRPr="00E44551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 </w:t>
      </w:r>
    </w:p>
    <w:p w14:paraId="37149569" w14:textId="0D43222B" w:rsidR="003E26EC" w:rsidRPr="00E44551" w:rsidRDefault="003E26EC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382896F" w14:textId="62E14AC5" w:rsidR="003E26EC" w:rsidRPr="00E44551" w:rsidRDefault="003E26EC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7FE4EE4" w14:textId="61A2FBC0" w:rsidR="003E26EC" w:rsidRPr="00E44551" w:rsidRDefault="003E26EC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4A0D422" w14:textId="30BBD4AA" w:rsidR="003E26EC" w:rsidRPr="00E44551" w:rsidRDefault="003E26EC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1320EE5" w14:textId="77777777" w:rsidR="005C648D" w:rsidRPr="00E44551" w:rsidRDefault="005C648D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26C3F20" w14:textId="77777777" w:rsidR="005C648D" w:rsidRPr="00E44551" w:rsidRDefault="005C648D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B78B49B" w14:textId="77777777" w:rsidR="005C648D" w:rsidRPr="00E44551" w:rsidRDefault="005C648D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1715898" w14:textId="31D4AEE5" w:rsidR="006F4F2D" w:rsidRPr="00E44551" w:rsidRDefault="006F4F2D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Članak 4.</w:t>
      </w:r>
    </w:p>
    <w:p w14:paraId="020737E7" w14:textId="69DD7F81" w:rsidR="009B5E5F" w:rsidRPr="00E44551" w:rsidRDefault="009B5E5F" w:rsidP="009B5E5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OBRAZLOŽENJE POSEBNOG DIJELA PRORAČUNA</w:t>
      </w:r>
    </w:p>
    <w:p w14:paraId="0AD90959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Prema organizacijskoj klasifikaciji Proračun Općine Podstrana podijeljen je u sedam razdjela: </w:t>
      </w:r>
    </w:p>
    <w:p w14:paraId="43484332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142" w:firstLine="578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Ured načelnika</w:t>
      </w:r>
    </w:p>
    <w:p w14:paraId="4646A0EB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Općinsko vijeće</w:t>
      </w:r>
    </w:p>
    <w:p w14:paraId="1E98235A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pravne poslove i strateško upravljanje</w:t>
      </w:r>
    </w:p>
    <w:p w14:paraId="4D90EE37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proračun i financije</w:t>
      </w:r>
    </w:p>
    <w:p w14:paraId="4C0F8880" w14:textId="4C2BE257" w:rsidR="004C05C7" w:rsidRPr="00E44551" w:rsidRDefault="00D90C0A" w:rsidP="00D90C0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           - P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roračunski korisnik: Javna vatrogasna postrojba Općine Podstrana</w:t>
      </w:r>
    </w:p>
    <w:p w14:paraId="0AF46C26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javnu nabavu, gospodarstvo, društvene djelatnosti i EU fondove</w:t>
      </w:r>
    </w:p>
    <w:p w14:paraId="5DE59285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prostorno uređenje, komunalne poslove i zaštitu okoliša</w:t>
      </w:r>
    </w:p>
    <w:p w14:paraId="4B32D24E" w14:textId="490AF9F8" w:rsidR="004C05C7" w:rsidRPr="00E44551" w:rsidRDefault="00D90C0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          -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Odsjek za komunalno redarstvo</w:t>
      </w:r>
    </w:p>
    <w:p w14:paraId="77BAD9F1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Komunalni pogon</w:t>
      </w:r>
    </w:p>
    <w:p w14:paraId="5647EA0F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FEB36DD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Razdjel je organizacijska razina utvrđena za potrebe planiranja i izvršavanja proračuna, a sastoji se od jedne ili više glava. Glavu čine programi koji se sastoje od programa usmjerenih ispunjenju prioritetnih ciljeva. Program se sastoji od jedne ili više aktivnosti i /ili projekata, a aktivnost i projekt pripadaju samo jednom programu. </w:t>
      </w:r>
    </w:p>
    <w:p w14:paraId="1DA487F7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Aktivnost je dio programa za koji nije unaprijed utvrđeno vrijeme trajanja, a u kojem su planirani rashodi i izdaci za ostvarivanje ciljeva utvrđenih programom. </w:t>
      </w:r>
    </w:p>
    <w:p w14:paraId="4C00D3BD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Projekt je dio programa za koji je unaprijed utvrđeno vrijeme trajanja, a u kojem su planirani rashodi i izdaci za ostvarivanje ciljeva utvrđenih programom. Projekt se planira jednokratno, a može biti tekući ili kapitalni. </w:t>
      </w:r>
    </w:p>
    <w:p w14:paraId="56C7DEA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rashoda po razdjelima sa pripadajućim projektima/aktivnostima i sredstvima koje se predlažu za njihovu provedbu slijedi u nastavku:</w:t>
      </w:r>
    </w:p>
    <w:p w14:paraId="4CB5F3E7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B5ABE1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RAZDJEL 001: URED NAČELNIKA</w:t>
      </w:r>
    </w:p>
    <w:p w14:paraId="633B0B4F" w14:textId="6CDB8CB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Načelnik zastupa Općinu Podstrana i nositelj je izvršne vlasti Općine. Obavlja poslove propisane Zakonom o područjima lokalne i p</w:t>
      </w:r>
      <w:r w:rsidR="00166468" w:rsidRPr="00E44551">
        <w:rPr>
          <w:rFonts w:ascii="Arial" w:eastAsia="Calibri" w:hAnsi="Arial" w:cs="Arial"/>
          <w:sz w:val="22"/>
          <w:szCs w:val="22"/>
          <w:lang w:val="hr-HR"/>
        </w:rPr>
        <w:t>odručne samouprave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Statutom Općine Podstrana.</w:t>
      </w:r>
    </w:p>
    <w:p w14:paraId="67CA3F68" w14:textId="1A714932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>Opći cilj ovog programa je kvalitetno izvršavanje zadaća kojima će se osigurati nesmetano djelovanje funkcija koje  u</w:t>
      </w:r>
      <w:r w:rsidR="00FA14D8" w:rsidRPr="00E44551">
        <w:rPr>
          <w:rFonts w:ascii="Arial" w:eastAsia="Calibri" w:hAnsi="Arial" w:cs="Arial"/>
          <w:sz w:val="22"/>
          <w:szCs w:val="22"/>
          <w:lang w:val="hr-HR"/>
        </w:rPr>
        <w:t xml:space="preserve"> okviru političkog sustava ima izvršna vlast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, a to je ostvarivanje uvjeta za viši nivo javnih usluga općine u određenoj djelatnosti propisanoj zakonom i statutom. Godišnji izvedbeni cilj programa je racionalno gospodarenje s planiranim sredstvima uz pretpostavku da se nivo protokolarnih događaja zadrži na sadašnjoj razini.</w:t>
      </w:r>
    </w:p>
    <w:p w14:paraId="6A48F8B5" w14:textId="59235157" w:rsidR="00916A06" w:rsidRPr="00E44551" w:rsidRDefault="00916A0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Pokazatelji uspješnosti: provedene protokolarne aktivnosti, transparentno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funkciniranje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općinske uprave i informiranje javnosti.</w:t>
      </w:r>
    </w:p>
    <w:p w14:paraId="6B2DD44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5834936F" w14:textId="64F66D5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Planirana sredstva za provođenje ovog programa iznose </w:t>
      </w:r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 xml:space="preserve">68.650,00 </w:t>
      </w:r>
      <w:proofErr w:type="spellStart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a obuhvaćaju rashode za redovne djelatnosti i protokolarne poslove načelnika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 te sponzorstva i donacije</w:t>
      </w:r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 xml:space="preserve"> po odluci.</w:t>
      </w:r>
    </w:p>
    <w:p w14:paraId="79A90086" w14:textId="77777777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408F0A6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002: OPĆINSKO VIJEĆE</w:t>
      </w:r>
    </w:p>
    <w:p w14:paraId="1604FCA7" w14:textId="26EA76EB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Općinsko vijeće predstavničko je tijelo mještana i tijelo lokalne samouprave koje donosi akte u okviru prava i dužnosti Općine kao jedinice lokalne samouprave. U okviru svog djelokruga Općinsko vijeće između ostalog donosi Statut Općine, odluke i druge opće akte kojima uređuje pitanja iz samoupravnog djelokruga Općine, donosi općinski proračun, odluku o izvršenju proračuna i nadzire ukupno materijalno i financijsko poslovanje Općine i odlučuje o drugim pitanjima utvrđenim zakonima i Statutom Općine. Rashodi ovog razdjela provode se kroz progra</w:t>
      </w:r>
      <w:r w:rsidR="0060574C" w:rsidRPr="00E44551">
        <w:rPr>
          <w:rFonts w:ascii="Arial" w:eastAsia="Calibri" w:hAnsi="Arial" w:cs="Arial"/>
          <w:sz w:val="22"/>
          <w:szCs w:val="22"/>
          <w:lang w:val="hr-HR"/>
        </w:rPr>
        <w:t>m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 xml:space="preserve"> Javna uprava i administracija.  </w:t>
      </w:r>
    </w:p>
    <w:p w14:paraId="585D5F52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111E9FAA" w14:textId="099143C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Planirana sredstva za provođenje ovog programa iznose </w:t>
      </w:r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 xml:space="preserve">77.500,00 </w:t>
      </w:r>
      <w:proofErr w:type="spellStart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,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a obuhvaćaju rashode za redovan rad predstavničkog tijela, naknade, protokol, promidžbu i proslave općinskih manifestacija. Programom se osiguravaju sredstva za redovan rad Općinskog vijeća te 6 mjesnih odbora.</w:t>
      </w:r>
      <w:r w:rsidR="00A07DBD" w:rsidRPr="00E4455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233C8E5" w14:textId="0BA13126" w:rsidR="006E24D5" w:rsidRPr="00E44551" w:rsidRDefault="006E24D5" w:rsidP="006E24D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Programom se kroz redovne aktivnosti osiguravaju sredstva za funkcioniranje Općinskog vijeća i radnih tijela (naknade za rad predstavničkih i izvršnih tijela, reprezentacija, protokol, intelektualne i osobne usluge, izbori, nagrada Općine, sufinanciranje i pokroviteljstva nad raznim manifestacijama) i financiranje političkih stranaka.</w:t>
      </w:r>
    </w:p>
    <w:p w14:paraId="13C1BCAC" w14:textId="1CFBDC60" w:rsidR="006E24D5" w:rsidRPr="00E44551" w:rsidRDefault="006E24D5" w:rsidP="006E24D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Pokazatelji uspješnosti: provedene protokolarne aktivnosti, transparentno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funkciniranje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gradske uprave i informiranje javnosti.</w:t>
      </w:r>
    </w:p>
    <w:p w14:paraId="5EDFEC3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899"/>
        <w:gridCol w:w="2673"/>
      </w:tblGrid>
      <w:tr w:rsidR="004C05C7" w:rsidRPr="00E44551" w14:paraId="4396E1D3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4F74C674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rada Općinskog vijeća</w:t>
            </w:r>
          </w:p>
        </w:tc>
        <w:tc>
          <w:tcPr>
            <w:tcW w:w="917" w:type="pct"/>
            <w:shd w:val="clear" w:color="auto" w:fill="auto"/>
            <w:vAlign w:val="center"/>
            <w:hideMark/>
          </w:tcPr>
          <w:p w14:paraId="4DEE21E3" w14:textId="25FBE35E" w:rsidR="004C05C7" w:rsidRPr="00E44551" w:rsidRDefault="00D90C0A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46.000,00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0BADB5C5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0E6225C3" w14:textId="71D53C7F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političkih stranaka zastupljenih u Općinskom vijeću</w:t>
            </w:r>
            <w:r w:rsidR="00C450F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664F4F9A" w14:textId="5149272A" w:rsidR="004C05C7" w:rsidRPr="00E44551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9.300,00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351204D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2222EC7B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Gradovi prijatelji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30D70114" w14:textId="49386DF2" w:rsidR="004C05C7" w:rsidRPr="00E44551" w:rsidRDefault="00C450F3" w:rsidP="0022454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6.200,00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358A3720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1A51011E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Mjesni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odborI</w:t>
            </w:r>
            <w:proofErr w:type="spellEnd"/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30A498E4" w14:textId="71BE583A" w:rsidR="004C05C7" w:rsidRPr="00E44551" w:rsidRDefault="00D90C0A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16.000,00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1271875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862D23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003: UPRAVNI ODJEL ZA PRAVNE POSLOVE I STRATEŠKO UPRAVLJANJE</w:t>
      </w:r>
    </w:p>
    <w:p w14:paraId="7CFA61FF" w14:textId="2E4B9BA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>Službenici ovog Upravnog odjela obavljaju pravne, upravno-pravne i savjetodavne poslove te upravne i stručne poslove, poslove vezane uz općinsku imovinu.</w:t>
      </w:r>
    </w:p>
    <w:p w14:paraId="371D7CE0" w14:textId="697493E8" w:rsidR="006E24D5" w:rsidRPr="00E44551" w:rsidRDefault="006E24D5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 okviru ove glave ostvaruje se program javna uprava i administracija u dijelu koji se odnosi na troškove sudskih postupaka i odvjetničke usluge, organiziranje lokalnih izbora i redovna djelatnost upravnih tijela te nabava dugotrajne imovine (</w:t>
      </w:r>
      <w:r w:rsidR="00224541" w:rsidRPr="00E44551">
        <w:rPr>
          <w:rFonts w:ascii="Arial" w:eastAsia="Calibri" w:hAnsi="Arial" w:cs="Arial"/>
          <w:sz w:val="22"/>
          <w:szCs w:val="22"/>
          <w:lang w:val="hr-HR"/>
        </w:rPr>
        <w:t>naknade za izvlaštena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zemljišta), obnova zemljišne knjige Gornja Podstrana i izrada katastra Gornja Podstrana.</w:t>
      </w:r>
    </w:p>
    <w:p w14:paraId="2C8E5C50" w14:textId="46C6E084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382BC2" w:rsidRPr="00E44551">
        <w:rPr>
          <w:rFonts w:ascii="Arial" w:eastAsia="Calibri" w:hAnsi="Arial" w:cs="Arial"/>
          <w:sz w:val="22"/>
          <w:szCs w:val="22"/>
          <w:lang w:val="hr-HR"/>
        </w:rPr>
        <w:t>8</w:t>
      </w:r>
      <w:r w:rsidR="00D15F14">
        <w:rPr>
          <w:rFonts w:ascii="Arial" w:eastAsia="Calibri" w:hAnsi="Arial" w:cs="Arial"/>
          <w:sz w:val="22"/>
          <w:szCs w:val="22"/>
          <w:lang w:val="hr-HR"/>
        </w:rPr>
        <w:t>0</w:t>
      </w:r>
      <w:r w:rsidR="00382BC2" w:rsidRPr="00E44551">
        <w:rPr>
          <w:rFonts w:ascii="Arial" w:eastAsia="Calibri" w:hAnsi="Arial" w:cs="Arial"/>
          <w:sz w:val="22"/>
          <w:szCs w:val="22"/>
          <w:lang w:val="hr-HR"/>
        </w:rPr>
        <w:t>1.440,00</w:t>
      </w:r>
      <w:r w:rsidR="0022454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22454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C78397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70568105" w14:textId="77CE9AF4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Planirana sredstva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- rashodi ovog programa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odnose se na financiranje redovne djelatnosti službenika, provođenje općih i pravnih poslova, rashoda prema posebnim propisima, subvencija prijevoza poduzeću Promet d.o.o., troškova za službenike Općinskog suda, ZK odjela,  koji rade na obnovi zemljišnih knjiga</w:t>
      </w:r>
      <w:r w:rsidR="00382BC2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41A0889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razdjel također obuhvaća i troškove nabavke dugotrajne imovine potrebne za obavljanje poslova općinske uprave te naknade za izvlaštena zemljišta.</w:t>
      </w:r>
    </w:p>
    <w:p w14:paraId="17865A6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8" w:name="_Hlk25245620"/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72"/>
        <w:gridCol w:w="2900"/>
      </w:tblGrid>
      <w:tr w:rsidR="004C05C7" w:rsidRPr="00E44551" w14:paraId="68F753E9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8"/>
          <w:p w14:paraId="18468120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7773" w14:textId="408212BE" w:rsidR="004C05C7" w:rsidRPr="00E44551" w:rsidRDefault="00382BC2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436.700,00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055507B0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0961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Nabava dugotrajne imovine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3B21F" w14:textId="51BD47E0" w:rsidR="004C05C7" w:rsidRPr="00E44551" w:rsidRDefault="00382BC2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3</w:t>
            </w:r>
            <w:r w:rsidR="00D15F14">
              <w:rPr>
                <w:rFonts w:ascii="Arial" w:eastAsia="Calibri" w:hAnsi="Arial" w:cs="Arial"/>
                <w:sz w:val="22"/>
                <w:szCs w:val="22"/>
                <w:lang w:val="hr-HR"/>
              </w:rPr>
              <w:t>3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7.500,00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526D9EAC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95CC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Obnova zemljišne knjige Gornja Podstrana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890D" w14:textId="0BF5F7F5" w:rsidR="004C05C7" w:rsidRPr="00E44551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27.2</w:t>
            </w:r>
            <w:r w:rsidR="00382BC2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09E4EF3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EBAE2AF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004: UPRAVNI ODJEL ZA PRORAČUN I FINANCIJE</w:t>
      </w:r>
    </w:p>
    <w:p w14:paraId="52972026" w14:textId="3AF46A4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Službenici ovog Upravnog odjela obavljaju poslove iz područja proračuna i financija i računovodstva, kao i poslova oko računovodstva proračunskih korisnika Općine Podstrana.</w:t>
      </w:r>
    </w:p>
    <w:p w14:paraId="4D9EAA78" w14:textId="330A36E8" w:rsidR="00916A06" w:rsidRPr="00E44551" w:rsidRDefault="00916A0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odjel obavlja poslove izrade proračuna i pratećih financijsko-planskih dokumenata, izvršavanje proračunskih rashoda, izrada povremenih izvješća, izvještaj o izvršenju proračuna i druge analitičko-normativne i financijsko-planske poslove, poslove knjigovodstva, likvidature, blagajne, obračuna plaća i drugih računovodstvenih poslova, poslova planiranja nabave robe, radova i usluga</w:t>
      </w:r>
      <w:r w:rsidR="005145AA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6C81571" w14:textId="76361EF5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Poslovi ovog programa su naplate potraživanja, provedbe ovršnih i drugih postupaka radi namirenja tražbina te upravnih sporova. </w:t>
      </w:r>
    </w:p>
    <w:p w14:paraId="5B44429D" w14:textId="77777777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Postotak naplate potraživanja.</w:t>
      </w:r>
    </w:p>
    <w:p w14:paraId="64BC710D" w14:textId="77777777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Posebni cilj programa je gospodarstveno upravljanje s proračunskim sredstvima koje će se osigurati uspostavom sustava unutarnjih kontrola, a godišnji izvedbeni cilj je uspješno i učinkovito izvođenje postavljenih zadaća.</w:t>
      </w:r>
    </w:p>
    <w:p w14:paraId="0AB94413" w14:textId="71594EE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876.350,00</w:t>
      </w:r>
      <w:r w:rsidR="008B2BE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8B2BE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što uključuje i 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rashode proračunskog korisnika JVP Podstrana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9F5FCC2" w14:textId="77777777" w:rsidR="002E6CFC" w:rsidRPr="00E44551" w:rsidRDefault="002E6CF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075407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2D367AC8" w14:textId="30020FE1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razdjel preko aktivnosti Financiranje redovne djelatnosti upravnih odjela upravlja materijalnim i financijskih rashodima za uredno poslovanje 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 xml:space="preserve">ovog odjela i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ostalih upravnih odjela, a odnose se na troškove uredskog materijala, sitnog inventara, te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lekom usluga, računalnih usluga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pričuve.</w:t>
      </w:r>
    </w:p>
    <w:p w14:paraId="4F187134" w14:textId="26DCEE7B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programa je osiguranje materijalnih, stručnih i prostornih uvjeta za rad upravnih tijela koje će se postići moderniziranjem i automatiziranjem rada lokalne uprave s poboljšanjem postojećih i uvođenjem novih informacijskih rješenja te stalnim stručnim usavršavanjem djelatnika. </w:t>
      </w:r>
    </w:p>
    <w:p w14:paraId="7BEC13DA" w14:textId="586CD753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Ovim programom osigurana su sredstva za plaće zaposlenih u upravn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om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odjelu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materijalni troškovi, troškovi stručnog usavršavanja, raspolaganje i upravljanje s imovinom potrebnom za rad uprave – tekuće i investicijsko održavanje upravnih prostora, plaćanje zakupnine, nabava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opreme</w:t>
      </w:r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>i</w:t>
      </w:r>
      <w:proofErr w:type="spellEnd"/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 xml:space="preserve"> slično.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    </w:t>
      </w:r>
    </w:p>
    <w:p w14:paraId="0F865C1C" w14:textId="628D600C" w:rsidR="00360ADF" w:rsidRPr="00E44551" w:rsidRDefault="00360ADF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Osigurana su sredstava za financiranje bankarskih usluga te usluga Porezne uprave za poslove obračunavanja poreza na potrošnju i usluga FINE. </w:t>
      </w:r>
    </w:p>
    <w:p w14:paraId="1202A13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razdjelu: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11215"/>
        <w:gridCol w:w="3200"/>
      </w:tblGrid>
      <w:tr w:rsidR="004C05C7" w:rsidRPr="00E44551" w14:paraId="6F50F8FF" w14:textId="77777777" w:rsidTr="003414D0">
        <w:trPr>
          <w:trHeight w:val="178"/>
        </w:trPr>
        <w:tc>
          <w:tcPr>
            <w:tcW w:w="3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F869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bookmarkStart w:id="9" w:name="_Hlk25245650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  <w:bookmarkEnd w:id="9"/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C8BEE" w14:textId="1EEA1669" w:rsidR="004C05C7" w:rsidRPr="00E44551" w:rsidRDefault="004C05C7" w:rsidP="008B2BE6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3414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79.050,00</w:t>
            </w:r>
            <w:r w:rsidR="008B2BE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8B2BE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1C54B008" w14:textId="77777777" w:rsidTr="003414D0">
        <w:trPr>
          <w:trHeight w:val="178"/>
        </w:trPr>
        <w:tc>
          <w:tcPr>
            <w:tcW w:w="3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346E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Zajednički rashodi tekućeg poslovanja upravnih odjela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1D7A" w14:textId="17C9632E" w:rsidR="004C05C7" w:rsidRPr="00E44551" w:rsidRDefault="008B2BE6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3414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212.000,00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3D722F6D" w14:textId="77777777" w:rsidR="00F11B79" w:rsidRPr="00E44551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94958B3" w14:textId="77777777" w:rsidR="00F11B79" w:rsidRPr="00E44551" w:rsidRDefault="00F11B79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GLAVA 00401: Javna vatrogasna postrojba Općine Podstrana</w:t>
      </w:r>
    </w:p>
    <w:p w14:paraId="65DDCA4C" w14:textId="77777777" w:rsidR="00F11B79" w:rsidRPr="00E44551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E6044DB" w14:textId="7EF92917" w:rsidR="00F11B79" w:rsidRPr="00E44551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Ustanova obavlja vatrogasnu djelatnost. Vatrogasna djelatnost je sudjelovanje u provedbi preventivnih mjera zaštite od požara i eksplozija, gašenje požara i spašavanje ljudi i imovine ugroženih požarom i eksplozijom, pružanje tehničke pomoći u nezgodama i opasnim situacijama te obavljanje i drugih poslova u nesrećama, ekološkim i ostalim nesrećama.</w:t>
      </w:r>
    </w:p>
    <w:p w14:paraId="37AA41C1" w14:textId="001E2398" w:rsidR="00F11B79" w:rsidRPr="00E44551" w:rsidRDefault="00F11B79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programa je redovno financiranje prava zaposlenika iz radnog odnosa i materijalnih troškova,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uklađivanja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Pravilnika o klasifikaciji radnih mjesta profesionalnih vatrogasaca i mjerila za utvrđivanje navedenih na nacionalnom nivou što bi u konačnici značilo uvećanje plaće za sve vatrogasce, provođenje plana nastave i vježbi, pružanje pomoći i suradnja s građanima, gradskim ustanovama, pravnim subjektima u preventivnom djelu zaštite od požara, te podizanje razine sigurnosti u gradskim i ostalim ustanovama.</w:t>
      </w:r>
    </w:p>
    <w:p w14:paraId="1F48252F" w14:textId="0ADA38B7" w:rsidR="00F11B79" w:rsidRPr="00E44551" w:rsidRDefault="00F11B79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 uspješnosti je ispunjenje obveze prema zaposlenima, održavanje objekta, opreme i prijevoznih sredstava na prihvatljivom nivou operativne učinkovitosti, čime se pridonosi učinkovitijim intervencijama uz korištenje manjeg broja vatrogasaca što smanjuje rashode.</w:t>
      </w:r>
    </w:p>
    <w:p w14:paraId="4F0088D8" w14:textId="31510C02" w:rsidR="008B2BE6" w:rsidRPr="00E44551" w:rsidRDefault="008B2BE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Aktivnost: Financiranje redovne djelatnosti JVP PODSTRANA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  <w:t xml:space="preserve">                 </w:t>
      </w:r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>585.300,00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</w:p>
    <w:p w14:paraId="365CBE74" w14:textId="77777777" w:rsidR="00F11B79" w:rsidRPr="00E44551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491AAE8" w14:textId="22A92BC2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005: UPRAVNI ODJEL ZA JAVNU NABAVU, GOSPODARSTVO,</w:t>
      </w:r>
    </w:p>
    <w:p w14:paraId="53565CE6" w14:textId="0256A50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DRUŠTVENE DJELATNOSTI I EU FONDOVE</w:t>
      </w:r>
    </w:p>
    <w:p w14:paraId="7C0A34F7" w14:textId="77777777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336BC7F" w14:textId="3E3A478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Djelokrug ovog Upravnog odjela obuhvaća deset različitih programa iz područja socijalne skrbi, kulture, gospodarstva, zaštite i spašavanja.</w:t>
      </w:r>
    </w:p>
    <w:p w14:paraId="7835C263" w14:textId="77777777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 i opis programa:</w:t>
      </w:r>
    </w:p>
    <w:p w14:paraId="709CB514" w14:textId="0D466BDE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Programom se planiraju sredstva za provedbu različitih natječaja sukladno Zakonu o javnoj nabavi, izvješćuje se građanstvo o komunalnim akcijama.</w:t>
      </w:r>
    </w:p>
    <w:p w14:paraId="416F3B43" w14:textId="313C47D6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Pripremne aktivnosti i pripreme EU projekata u novoj EU perspektivi 2021-2027 kandidiranja na otvorene javne pozive i natječaje te povećanje učinkovitosti u povlačenju bespovratnih EU sredstava, kao i uspješna provedba projekata za koje su odobrena sredstva iz EU programa.</w:t>
      </w:r>
    </w:p>
    <w:p w14:paraId="5CD7D3D9" w14:textId="0A6DC8DB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Poticanje razvoja malog poduzetništva te povećanje broja obrtnika i malih poduzetnika</w:t>
      </w:r>
    </w:p>
    <w:p w14:paraId="626779A2" w14:textId="1094AC8B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 raznim oblicima pomoći iz socijalne skrbi cilj je i osigurati korisnicima adekvatna pomoć kroz 7 osnovnih oblika pomoći: zaštita djece i mladeži, zaštita roditeljstva, zaštita osoba s tjelesnim i mentalnim oštećenjima, pomoć u financiranju troškova stanovanja i ostalih životnih troškova, održavanje životnog standarda i zdravlja građana.</w:t>
      </w:r>
    </w:p>
    <w:p w14:paraId="55EA1EEA" w14:textId="5008C04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Raspored ukupnih rashoda koji je nositelj ovaj razdjel u iznosu od </w:t>
      </w:r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>2.7</w:t>
      </w:r>
      <w:r w:rsidR="00D15F14">
        <w:rPr>
          <w:rFonts w:ascii="Arial" w:eastAsia="Calibri" w:hAnsi="Arial" w:cs="Arial"/>
          <w:sz w:val="22"/>
          <w:szCs w:val="22"/>
          <w:lang w:val="hr-HR"/>
        </w:rPr>
        <w:t>8</w:t>
      </w:r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 xml:space="preserve">7.545.29 </w:t>
      </w:r>
      <w:proofErr w:type="spellStart"/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 programima:</w:t>
      </w:r>
    </w:p>
    <w:p w14:paraId="076505E0" w14:textId="77777777" w:rsidR="002E6CFC" w:rsidRPr="00E44551" w:rsidRDefault="002E6CF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1B0DB7D" w14:textId="3C39906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Program 1002: Javna uprava i administracija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72"/>
        <w:gridCol w:w="2900"/>
      </w:tblGrid>
      <w:tr w:rsidR="004C05C7" w:rsidRPr="00E44551" w14:paraId="428D9568" w14:textId="77777777" w:rsidTr="003414D0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78B9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A54A1" w14:textId="0D31EB71" w:rsidR="004C05C7" w:rsidRPr="00E44551" w:rsidRDefault="003414D0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144.300,00</w:t>
            </w:r>
            <w:r w:rsidR="00F11B79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F11B79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4CA9866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1002: Financiranje projekata udruga</w:t>
      </w:r>
    </w:p>
    <w:p w14:paraId="1E970706" w14:textId="256E8B70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Planirana sre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dstva u iznosu od </w:t>
      </w:r>
      <w:r w:rsidR="00A5634B" w:rsidRPr="00E44551">
        <w:rPr>
          <w:rFonts w:ascii="Arial" w:eastAsia="Calibri" w:hAnsi="Arial" w:cs="Arial"/>
          <w:sz w:val="22"/>
          <w:szCs w:val="22"/>
          <w:lang w:val="hr-HR"/>
        </w:rPr>
        <w:t>150.000,00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odnose se na financiranje udr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 xml:space="preserve">uga koje će se javiti na javne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poziv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dostavom projekata koje će Općina Podstrana prihvati kao projekte od interesa za zadovoljavanje javnih potreba mještana.</w:t>
      </w:r>
    </w:p>
    <w:p w14:paraId="22F53B96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1003: Program predškolski odgoj</w:t>
      </w:r>
    </w:p>
    <w:p w14:paraId="34FBAB21" w14:textId="5DD248FE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program obuhvaća aktivnos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ti sufinanciranja boravka djece s područja općine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ustanovama predškolskog odgoja. Na području općine djeluju </w:t>
      </w:r>
      <w:r w:rsidR="008E7675" w:rsidRPr="00E44551">
        <w:rPr>
          <w:rFonts w:ascii="Arial" w:eastAsia="Calibri" w:hAnsi="Arial" w:cs="Arial"/>
          <w:sz w:val="22"/>
          <w:szCs w:val="22"/>
          <w:lang w:val="hr-HR"/>
        </w:rPr>
        <w:t>tri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ustanove, jedna vjerska zajednica te jedan obrt za dadilje, koje u 9 objekata obavljaju djelatnost dječjih vrtić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="008E7675" w:rsidRPr="00E44551">
        <w:rPr>
          <w:rFonts w:ascii="Arial" w:eastAsia="Calibri" w:hAnsi="Arial" w:cs="Arial"/>
          <w:sz w:val="22"/>
          <w:szCs w:val="22"/>
          <w:lang w:val="hr-HR"/>
        </w:rPr>
        <w:t>. Općina također su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 xml:space="preserve"> a Općina Podstrana sukladno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Odluci o socijalnoj skrbi sufinancira boravak djeteta sa 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172,54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mjesečno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za duži boravak, odnosno 159,27 </w:t>
      </w:r>
      <w:proofErr w:type="spellStart"/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za kraći boravak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osigurava još 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13,27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godišnje po upisanom djetetu na ime poklona za Božić.</w:t>
      </w:r>
    </w:p>
    <w:p w14:paraId="078B750A" w14:textId="77777777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programa je poticanje cjelovitog razvoja svih funkcija, sposobnosti i mogućnosti, očuvanje tjelesnog i mentalnog zdravlja djeteta, a u skladu sa suvremenim znanstvenim spoznajama, zakonitostima djetetova razvoja i njegovim stvarnim mogućnostima. </w:t>
      </w:r>
    </w:p>
    <w:p w14:paraId="151E5DD2" w14:textId="0E5C573D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Predškolski odgoj obuhvaća programe odgoja, obrazovanja, zdravstvene zaštite, prehrane i socijalne skrbi koji se ostvaruju u dječjim vrtićima sukladno Zakonu o predškolskom odgoju i obrazovanju (NN 10/97, 107/07 i 94/13).</w:t>
      </w:r>
    </w:p>
    <w:p w14:paraId="35E0EF53" w14:textId="0126960E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Za ovaj program se predlaže iznos od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1.184.000,00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16F5B8F" w14:textId="77777777" w:rsidR="005055A7" w:rsidRPr="00E44551" w:rsidRDefault="005055A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14A10E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1004: Javne potrebe u sportu</w:t>
      </w:r>
    </w:p>
    <w:p w14:paraId="617842C4" w14:textId="71A55714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program obuhvaća financiranje javnih potreba u sportu, koji se izvršava preko Zajednice sportskih udruga općine Podstrana, za koje je predviđen iznos od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1</w:t>
      </w:r>
      <w:r w:rsidR="00D15F14">
        <w:rPr>
          <w:rFonts w:ascii="Arial" w:eastAsia="Calibri" w:hAnsi="Arial" w:cs="Arial"/>
          <w:sz w:val="22"/>
          <w:szCs w:val="22"/>
          <w:lang w:val="hr-HR"/>
        </w:rPr>
        <w:t>8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0.000,00</w:t>
      </w:r>
      <w:r w:rsidR="00FF5AD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te 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4.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300,00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najam dvorane u OŠ „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Strožanac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“.</w:t>
      </w:r>
    </w:p>
    <w:p w14:paraId="7E3A3D1B" w14:textId="09915618" w:rsidR="007A4B2C" w:rsidRPr="00E44551" w:rsidRDefault="007A4B2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Ciljevi ovog programa su promicanje sporta na području općine, skrb o kategoriziranim sportašima, skrb o javnim sportskim građevinama, provođenje mjera zdravstvene zaštite sportaša, sudjelovanje u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ostavrivanju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programa HOO-a, dodjela priznanja, nagrada i pohvala za postignute rezultate u sportu.</w:t>
      </w:r>
    </w:p>
    <w:p w14:paraId="35A19F47" w14:textId="77777777" w:rsidR="00540E68" w:rsidRPr="00E44551" w:rsidRDefault="00540E6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DA63DE8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1005: Potpora poljoprivredi</w:t>
      </w:r>
    </w:p>
    <w:p w14:paraId="4DA1CBEA" w14:textId="4C80542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Ovim programom se kroz aktivnost Subvencija poljoprivrednicima omogućava OPG-ima nabavka sadnica za povećanje poljoprivrednih površina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te za obradu zapostavljenog zemljišta. Za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ovu aktivnost osigurava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se iznos od 35.000,00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102DEA9" w14:textId="450F91F4" w:rsidR="00934174" w:rsidRPr="00E44551" w:rsidRDefault="00934174" w:rsidP="0093417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Stvaranje preduvjeta za razvoj poljoprivrede kroz poticanje poljoprivrednika za uspostavu novih nasada, odnosno stada, poticanje certificirane proizvodnje poljoprivrednih proizvoda, razvoj proizvoda i slično, kao i ulaganje u infrastrukturu-osiguravanje vodovodnih priključaka, kako bi se olakšala i intenzivirala poljoprivredna djelatnost.</w:t>
      </w:r>
    </w:p>
    <w:p w14:paraId="26EDD5DD" w14:textId="3B6CB62B" w:rsidR="00934174" w:rsidRPr="00E44551" w:rsidRDefault="00934174" w:rsidP="0093417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Opis programa: Program se provodi kroz dodjelu bespovratnih subvencija za obnovu nasada, nabavu repromaterijala i opreme, navodnjavanje, kupovinu umjetnih gnojiva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i slično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</w:t>
      </w:r>
    </w:p>
    <w:p w14:paraId="3C2E5D54" w14:textId="77777777" w:rsidR="00934174" w:rsidRPr="00E44551" w:rsidRDefault="0093417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318B9A8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1008: Jačanje gospodarstva</w:t>
      </w:r>
    </w:p>
    <w:p w14:paraId="76974037" w14:textId="53D7B506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Planiranim programom se osiguravaju sredstva </w:t>
      </w:r>
      <w:r w:rsidR="00B16131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4.645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,29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B1613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za provedbu projekta: Ulaganje u razvoj MSP-ova putem PC "Scala d.o.o.", kojom bi se educirala mala i srednja poduzeća sa područja Općine Podstrana.</w:t>
      </w:r>
    </w:p>
    <w:p w14:paraId="538C613A" w14:textId="00548491" w:rsidR="007A4B2C" w:rsidRPr="00E44551" w:rsidRDefault="007A4B2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Projekt doprinosi umrežavanju i podizanju kapaciteta na način da je Općina Podstrana partner Poduzetničkom centru Scala d.o.o. (Prijavitelj), a istovremeno je Poduzetnički centar Scala d.o.o. partner poduzetničkom akceleratoru E.C.H.R. d.o.o., koji se profilirao za tehnologije u zdravstvu. Također, suradnja s Razvojnom agencijom Split od ključne je važnosti radi uspostavljanja i razvijanja komunikacije s Gradom Splitom te koordiniranja i povezivanja suradnje između PPI-ova.</w:t>
      </w:r>
    </w:p>
    <w:p w14:paraId="04D74F89" w14:textId="77777777" w:rsidR="007A4B2C" w:rsidRPr="00E44551" w:rsidRDefault="007A4B2C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projekta na području UAS je omogućavanje povoljnog okruženja za osnivanje i razvoj MSP kroz pružanje podrške MSP te jačanje vlastitih kapaciteta i kompetencija.</w:t>
      </w:r>
    </w:p>
    <w:p w14:paraId="1695CC38" w14:textId="77777777" w:rsidR="007A4B2C" w:rsidRPr="00E44551" w:rsidRDefault="007A4B2C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Projektom se doprinosi rješavanju problema konkurentnosti MSP i zapošljavanja te nedostatne i nepovezane potporne infrastrukture. Ciljne skupine projekta su MSP, PPI i JLS.</w:t>
      </w:r>
    </w:p>
    <w:p w14:paraId="456E4C7F" w14:textId="1C4A7C03" w:rsidR="007A4B2C" w:rsidRPr="00E44551" w:rsidRDefault="007A4B2C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>Provedbom aktivnosti usmjerenih na stvaranje koordinirane mreže PPI na razini UAS, profiliranje PPI i razvoj personaliziranih visokokvalitetnih usluga koje se odnose na savjetodavnu i mentorsku podršku MSP doprinosi se unapređenju organizacijskih, upravljačkih, programskih i tržišnih potencijala MSP u različitim fazama njihovog rasta i razvoja.</w:t>
      </w:r>
    </w:p>
    <w:p w14:paraId="68B2DB9F" w14:textId="77777777" w:rsidR="00540E68" w:rsidRPr="00E44551" w:rsidRDefault="00540E68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387642F" w14:textId="3D7CE93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1007: Socijalna skrb</w:t>
      </w:r>
    </w:p>
    <w:p w14:paraId="7C0B6EAA" w14:textId="5EAED311" w:rsidR="00360ADF" w:rsidRPr="00E44551" w:rsidRDefault="00360ADF" w:rsidP="00360AD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Cilj programa je u raznim oblicima pomoći iz socijalne skrbi osigurati korisnicima adekvatna pomoć kroz 7 osnovnih oblika pomoći: zaštita djece i mladeži, zaštita roditeljstva, zaštita osoba s tjelesnim i mentalnim oštećenjima, pomoć u financiranju troškova stanovanja i ostalih životnih troškova, održavanje životnog standarda i zdravlja građana.</w:t>
      </w:r>
    </w:p>
    <w:p w14:paraId="1C1B2FA0" w14:textId="69E0ABCB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Za ovaj program ukupno planirana sredstva od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545.000,00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aktivnosti „Novčane pomoći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“ su u visini od obuhvaćaju rashode kako slijedi:</w:t>
      </w:r>
    </w:p>
    <w:tbl>
      <w:tblPr>
        <w:tblW w:w="4967" w:type="pct"/>
        <w:jc w:val="center"/>
        <w:tblLook w:val="04A0" w:firstRow="1" w:lastRow="0" w:firstColumn="1" w:lastColumn="0" w:noHBand="0" w:noVBand="1"/>
      </w:tblPr>
      <w:tblGrid>
        <w:gridCol w:w="11445"/>
        <w:gridCol w:w="3031"/>
      </w:tblGrid>
      <w:tr w:rsidR="00C56544" w:rsidRPr="00E44551" w14:paraId="6F134F06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ECAB7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NAKNADE GRAĐANIMA U NOVCU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B429" w14:textId="770B1A93" w:rsidR="00C56544" w:rsidRPr="00E44551" w:rsidRDefault="00D15F14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540E68" w:rsidRPr="00E44551">
              <w:rPr>
                <w:rFonts w:ascii="Arial" w:hAnsi="Arial" w:cs="Arial"/>
                <w:sz w:val="22"/>
                <w:szCs w:val="22"/>
              </w:rPr>
              <w:t>0.000,00</w:t>
            </w:r>
            <w:r w:rsidR="00FF5AD6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744183D0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99FB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POMOĆ RODILJAMA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F1550" w14:textId="040AAC99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66.000,00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74EEBB38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AB608" w14:textId="5387073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STIPENDIJE I ŠKOLARINE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600EF" w14:textId="6FC40415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5F14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 120.000,00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0F2D7D9B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150DA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UDŽBENICI ZA UČENIKE SREDNJIH ŠKOLA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7843" w14:textId="35B291EA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70.000,00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6BA88C5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5FED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UDŽBENICI ZA UČENIKE OŠ STROŽANAC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4DEEB" w14:textId="0FDB23CD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80.000,00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6A9F8B6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2E44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SUBVENCIJA PRIJEVOZA ZA STUDENTE I ĐAKE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4AAF6" w14:textId="3C407322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061B22E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43881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SUBVENCIJA PRIJEVOZA G. PODSTRANA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85BEA" w14:textId="54C2BAC5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28.000,00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4C05C7" w:rsidRPr="00E44551" w14:paraId="1F62BDD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704B5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ASISTENT ZA DJECU S POSEBNIM POTREBAMA U VRTIĆIMA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7935" w14:textId="7C8E4297" w:rsidR="004C05C7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100.000,00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4EF0FB9D" w14:textId="77777777" w:rsidR="00540E68" w:rsidRPr="00E44551" w:rsidRDefault="00540E6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A0455FD" w14:textId="789D8B2B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1008: Razvoj civilnog društva</w:t>
      </w:r>
    </w:p>
    <w:p w14:paraId="03638D3A" w14:textId="6F2C9BC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program obuhvaća 6 aktivnosti u ukupnom iznosu od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382.000,00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kojim se sufinanciraju organizacije koje je Općina dužna financirati po posebnim zakonima, te programe kojima se podiže razina kvalitete življenja, solidarnosti i zajedništva, od kojih je i jedan projekt sufinanciran sredstvima EU.</w:t>
      </w:r>
    </w:p>
    <w:p w14:paraId="1D2D9408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programu: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611"/>
        <w:gridCol w:w="1961"/>
      </w:tblGrid>
      <w:tr w:rsidR="004C05C7" w:rsidRPr="00E44551" w14:paraId="52AEE5BB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C5F4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Hrvatski Crveni križ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13AE" w14:textId="6DD9FE6C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6498E198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29F3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Vjerske zajednice-redovna djelatnost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2225" w14:textId="4DE268F8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7FBF1EC3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83AC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Vjerske zajednice-uređenje sakralnih objekata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3632" w14:textId="701B884A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45F89B0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0FC1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Aktivnost: Gradska knjižnica Marko Marulić - Split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55521" w14:textId="6C9F8B07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23.000,00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2FE4CA5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EF58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Donacije zdravstvenim organizacijama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C49B" w14:textId="566ADD7D" w:rsidR="004C05C7" w:rsidRPr="00E44551" w:rsidRDefault="005055A7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11BC59EA" w14:textId="77777777" w:rsidR="004C05C7" w:rsidRPr="00E44551" w:rsidRDefault="004C05C7" w:rsidP="003753C4">
      <w:pPr>
        <w:tabs>
          <w:tab w:val="left" w:pos="1701"/>
          <w:tab w:val="left" w:pos="5604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1D21032" w14:textId="77777777" w:rsidR="004C05C7" w:rsidRPr="00E44551" w:rsidRDefault="004C05C7" w:rsidP="003753C4">
      <w:pPr>
        <w:tabs>
          <w:tab w:val="left" w:pos="1701"/>
          <w:tab w:val="left" w:pos="5604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Projekt: EU projekt – </w:t>
      </w:r>
      <w:proofErr w:type="spellStart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Resistance</w:t>
      </w:r>
      <w:proofErr w:type="spellEnd"/>
    </w:p>
    <w:p w14:paraId="5FBE24E1" w14:textId="6F40D422" w:rsidR="007A26B5" w:rsidRPr="00E44551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projekta RESISTANCE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bio je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podijeliti stečena znanja i iskustva o morskom, obalnom i riječnom okolišu kapitaliziranjem rezultata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Interreg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projekata ECOMAP, ECOSS, Net4mPLASTIC, SOUNDSCAPE, DORY, SASPAS i ML-REPAIR.</w:t>
      </w:r>
    </w:p>
    <w:p w14:paraId="4FF2F399" w14:textId="26BBAD9F" w:rsidR="007A26B5" w:rsidRPr="00E44551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Projekt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je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podrža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vao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razvoj Smjernica i metodologija pomorskog prostornog planiranja na lokalnoj i regionalnoj razini te poveća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nje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ekološk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svijest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lokalnih i regionalnih zajednica, nevladinih organizacija, opće javnosti na području cijele Jadransko-Jonske regije.</w:t>
      </w:r>
    </w:p>
    <w:p w14:paraId="36FEF4B5" w14:textId="3DA60EC1" w:rsidR="007A26B5" w:rsidRPr="00E44551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Općina Podstrana je vodeći partner i  koordinator projekta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 xml:space="preserve">koji je završio u kolovozu 2023. godine, a planirani rashodi u iznosu od 258.000,00 </w:t>
      </w:r>
      <w:proofErr w:type="spellStart"/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 xml:space="preserve"> će se rasporediti partnerima iz </w:t>
      </w:r>
      <w:proofErr w:type="spellStart"/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prijekta</w:t>
      </w:r>
      <w:proofErr w:type="spellEnd"/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FABE99B" w14:textId="77777777" w:rsidR="007A26B5" w:rsidRPr="00E44551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1EF6073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1011: Organiziranje i provođenje zaštite i spašavanja</w:t>
      </w:r>
    </w:p>
    <w:p w14:paraId="07541AC9" w14:textId="14386FFE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Ovim programom su obuhvaćene aktivnosti financiranja redovne djelatnosti DVD Podstrana. Osiguran iznos za ovu aktivnost je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115.000,00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kojima se financira redovna vatroga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sna djelatnost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otplata cisterne za potrebe prijevoza vode za Gornju Podstranu i protupožarnu zaštitu.</w:t>
      </w:r>
    </w:p>
    <w:p w14:paraId="4E9EFEC6" w14:textId="288D1A66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Programom se ostvaruju uvjeti za zaštitu imovine i prirode od požara temeljem Zakonu o vatrogastvu i općinskog plana zaštite od požara. Program također obuhvaća organizacijske oblike sustava zaštite i spašavanja i djelovanja u slučaju prirodnih i drugih nesreća.</w:t>
      </w:r>
    </w:p>
    <w:p w14:paraId="32501C67" w14:textId="0D8F71F0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Broj osposobljenih članova dobrovoljnih vatrogasnih društava, broj pripadnika postrojbe civilne zaštite, broj operativnih snaga civilne zaštite.</w:t>
      </w:r>
    </w:p>
    <w:p w14:paraId="40944000" w14:textId="69E564D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Pomoći prema HGSS-u iznose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3.000,00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a za opremanje postrojbe, održavanje vježbi, edukacija u organizaciji civilne zaštite osigurava se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8.000,00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2681592" w14:textId="7DADD5D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Projekt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: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Razvoj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širokopojasne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infrastrukture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se prenosi iz prošle godine za razvoj brze optičke mreže za širokopojasni pristup internetu na području naše općine. 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iznos je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1.500,00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kao participacija u projektu kojeg provodi grad Omiš.</w:t>
      </w:r>
    </w:p>
    <w:p w14:paraId="00D092E2" w14:textId="77777777" w:rsidR="00A6286F" w:rsidRDefault="00A6286F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064BBA2" w14:textId="77777777" w:rsidR="001724AD" w:rsidRDefault="001724A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BE31278" w14:textId="77777777" w:rsidR="001724AD" w:rsidRDefault="001724A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E46F431" w14:textId="3D8DB7C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RAZDJEL 006: UPRAVNI ODJEL ZA PROSTORNO UREĐENJE,</w:t>
      </w:r>
    </w:p>
    <w:p w14:paraId="6312DF61" w14:textId="2E9ECF22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KOMUNALNE POSLOVE I ZAŠTITU OKOLIŠA</w:t>
      </w:r>
    </w:p>
    <w:p w14:paraId="66107570" w14:textId="114F4C41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lastRenderedPageBreak/>
        <w:t>Nadležnost ovog Upravnog odjela su izvršenje programa iz područja prostornog uređenja, graditeljstva, komunalnog gospodarstva, izgradnje i održavanju nerazvrstanih cesta, tj. izgradnje i rekonstrukcije cjelokupne komunalne infrastrukture.</w:t>
      </w:r>
    </w:p>
    <w:p w14:paraId="372D026E" w14:textId="68D8303F" w:rsidR="007A26B5" w:rsidRPr="007A26B5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Cilj programa je p</w:t>
      </w:r>
      <w:r w:rsidRPr="007A26B5">
        <w:rPr>
          <w:rFonts w:ascii="Arial" w:eastAsia="Calibri" w:hAnsi="Arial" w:cs="Arial"/>
          <w:sz w:val="22"/>
          <w:szCs w:val="22"/>
          <w:lang w:val="hr-HR"/>
        </w:rPr>
        <w:t xml:space="preserve">rovođenje politike prostornog uređenja radi ujednačavanja uvjeta življenja na cijelom području </w:t>
      </w:r>
      <w:r>
        <w:rPr>
          <w:rFonts w:ascii="Arial" w:eastAsia="Calibri" w:hAnsi="Arial" w:cs="Arial"/>
          <w:sz w:val="22"/>
          <w:szCs w:val="22"/>
          <w:lang w:val="hr-HR"/>
        </w:rPr>
        <w:t>Općine</w:t>
      </w:r>
      <w:r w:rsidRPr="007A26B5">
        <w:rPr>
          <w:rFonts w:ascii="Arial" w:eastAsia="Calibri" w:hAnsi="Arial" w:cs="Arial"/>
          <w:sz w:val="22"/>
          <w:szCs w:val="22"/>
          <w:lang w:val="hr-HR"/>
        </w:rPr>
        <w:t>, osiguravanje prostora za razvoj gospodarskih aktivnosti te zaštitu prirodnih, tradicionalnih i kulturnih vrijednosti.</w:t>
      </w:r>
    </w:p>
    <w:p w14:paraId="6F167F65" w14:textId="77777777" w:rsidR="00565BE2" w:rsidRDefault="00565BE2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Program obuhvaća aktivnosti izrade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 općih i pojedinačnih akata iz djelatnosti prostornog planiranja, održavanja GIS-a, evidentiranje nerazvrstanih cesta i komunalne infrastrukture, proširenje baze obveznika komunalne na</w:t>
      </w:r>
      <w:r>
        <w:rPr>
          <w:rFonts w:ascii="Arial" w:eastAsia="Calibri" w:hAnsi="Arial" w:cs="Arial"/>
          <w:sz w:val="22"/>
          <w:szCs w:val="22"/>
          <w:lang w:val="hr-HR"/>
        </w:rPr>
        <w:t>knade, naknade za uređenje voda..</w:t>
      </w:r>
    </w:p>
    <w:p w14:paraId="2A2D1C73" w14:textId="24416309" w:rsidR="007A26B5" w:rsidRPr="004C05C7" w:rsidRDefault="00565BE2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Pokazatelji uspješnosti je 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pokrivenost područja </w:t>
      </w:r>
      <w:r>
        <w:rPr>
          <w:rFonts w:ascii="Arial" w:eastAsia="Calibri" w:hAnsi="Arial" w:cs="Arial"/>
          <w:sz w:val="22"/>
          <w:szCs w:val="22"/>
          <w:lang w:val="hr-HR"/>
        </w:rPr>
        <w:t>Općine Podstrana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 prostornim planom, broj izrađenih i usvojenih UPU-a, broj izmjena UPU-a, broj legalizacija.</w:t>
      </w:r>
    </w:p>
    <w:p w14:paraId="2076246E" w14:textId="6783A65F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9256A3">
        <w:rPr>
          <w:rFonts w:ascii="Arial" w:eastAsia="Calibri" w:hAnsi="Arial" w:cs="Arial"/>
          <w:sz w:val="22"/>
          <w:szCs w:val="22"/>
          <w:lang w:val="hr-HR"/>
        </w:rPr>
        <w:t>8.2</w:t>
      </w:r>
      <w:r w:rsidR="001724AD">
        <w:rPr>
          <w:rFonts w:ascii="Arial" w:eastAsia="Calibri" w:hAnsi="Arial" w:cs="Arial"/>
          <w:sz w:val="22"/>
          <w:szCs w:val="22"/>
          <w:lang w:val="hr-HR"/>
        </w:rPr>
        <w:t>2</w:t>
      </w:r>
      <w:r w:rsidR="009256A3">
        <w:rPr>
          <w:rFonts w:ascii="Arial" w:eastAsia="Calibri" w:hAnsi="Arial" w:cs="Arial"/>
          <w:sz w:val="22"/>
          <w:szCs w:val="22"/>
          <w:lang w:val="hr-HR"/>
        </w:rPr>
        <w:t>7.800,00</w:t>
      </w:r>
      <w:r w:rsidR="007A26B5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F604229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Ove aktivnosti i projekti su detaljnije raščlanjene u Planu izgradnje i održavanje komunalne infrastrukture.</w:t>
      </w:r>
    </w:p>
    <w:p w14:paraId="5AD7138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programa i pripadajućih aktivnosti, tj. projekata u ovom razdjelu sa pripadajućim iznosima osiguranih za njihovu provedbu:</w:t>
      </w:r>
    </w:p>
    <w:tbl>
      <w:tblPr>
        <w:tblW w:w="5771" w:type="pct"/>
        <w:tblLayout w:type="fixed"/>
        <w:tblLook w:val="04A0" w:firstRow="1" w:lastRow="0" w:firstColumn="1" w:lastColumn="0" w:noHBand="0" w:noVBand="1"/>
      </w:tblPr>
      <w:tblGrid>
        <w:gridCol w:w="7231"/>
        <w:gridCol w:w="138"/>
        <w:gridCol w:w="148"/>
        <w:gridCol w:w="145"/>
        <w:gridCol w:w="135"/>
        <w:gridCol w:w="145"/>
        <w:gridCol w:w="138"/>
        <w:gridCol w:w="141"/>
        <w:gridCol w:w="2977"/>
        <w:gridCol w:w="239"/>
        <w:gridCol w:w="232"/>
        <w:gridCol w:w="98"/>
        <w:gridCol w:w="437"/>
        <w:gridCol w:w="121"/>
        <w:gridCol w:w="1487"/>
        <w:gridCol w:w="13"/>
        <w:gridCol w:w="441"/>
        <w:gridCol w:w="252"/>
        <w:gridCol w:w="219"/>
        <w:gridCol w:w="229"/>
        <w:gridCol w:w="13"/>
        <w:gridCol w:w="387"/>
        <w:gridCol w:w="1453"/>
      </w:tblGrid>
      <w:tr w:rsidR="00E44551" w:rsidRPr="00E44551" w14:paraId="25A2827D" w14:textId="77777777" w:rsidTr="00AF582A">
        <w:trPr>
          <w:gridAfter w:val="6"/>
          <w:wAfter w:w="760" w:type="pct"/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9936" w14:textId="18F32566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1001</w:t>
            </w: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JAVNA UPRAVA I ADMINISTRACIJA</w:t>
            </w: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589C0" w14:textId="28F6E045" w:rsidR="004C05C7" w:rsidRPr="00E44551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192.100,00</w:t>
            </w:r>
            <w:r w:rsidR="00565BE2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="00565BE2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DE1FF3B" w14:textId="77777777" w:rsidTr="00AF582A">
        <w:trPr>
          <w:gridAfter w:val="6"/>
          <w:wAfter w:w="760" w:type="pct"/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B313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CC8D" w14:textId="50FDABB5" w:rsidR="004C05C7" w:rsidRPr="00E44551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192.100,00</w:t>
            </w:r>
            <w:r w:rsidR="00565BE2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565BE2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3478DC" w14:paraId="23B3B22B" w14:textId="77777777" w:rsidTr="00AF582A">
        <w:trPr>
          <w:gridAfter w:val="6"/>
          <w:wAfter w:w="760" w:type="pct"/>
          <w:trHeight w:val="300"/>
        </w:trPr>
        <w:tc>
          <w:tcPr>
            <w:tcW w:w="34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78BA" w14:textId="4FEFABF3" w:rsidR="009256A3" w:rsidRPr="003478DC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1011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RAZVOJ I UPRAVLJANJE SUSTAVA VODOOPSKRBE, ODVODNJE I ZAŠTITE VODA</w:t>
            </w:r>
          </w:p>
        </w:tc>
        <w:tc>
          <w:tcPr>
            <w:tcW w:w="84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A3157" w14:textId="6BD0CED5" w:rsidR="009256A3" w:rsidRPr="003478DC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256.000,00 </w:t>
            </w:r>
            <w:proofErr w:type="spellStart"/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47008E6F" w14:textId="77777777" w:rsidTr="00AF582A">
        <w:trPr>
          <w:gridAfter w:val="6"/>
          <w:wAfter w:w="760" w:type="pct"/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7B9D" w14:textId="53297D29" w:rsidR="009256A3" w:rsidRPr="00E44551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sustava odvodnje oborinskih voda</w:t>
            </w: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EF35" w14:textId="21BA396C" w:rsidR="009256A3" w:rsidRPr="00E44551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256.000,00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7F4063" w14:paraId="712D97B0" w14:textId="77777777" w:rsidTr="00AF582A">
        <w:trPr>
          <w:gridAfter w:val="6"/>
          <w:wAfter w:w="760" w:type="pct"/>
          <w:trHeight w:val="300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E143" w14:textId="1F3DC064" w:rsidR="009256A3" w:rsidRPr="00E44551" w:rsidRDefault="009256A3" w:rsidP="00925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Dogradnja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sustava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oborinske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odvodnje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kojima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utječe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okoliša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poboljšanje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stanovanja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prometne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sigurnosti</w:t>
            </w:r>
            <w:proofErr w:type="spellEnd"/>
          </w:p>
          <w:p w14:paraId="0134333B" w14:textId="6C1B808A" w:rsidR="009256A3" w:rsidRPr="00E44551" w:rsidRDefault="009256A3" w:rsidP="00925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Pokazatelji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uspješnosti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intervencija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šteta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infrastrukturi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prethodno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razdoblje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9E046C" w14:textId="77777777" w:rsidR="009256A3" w:rsidRPr="00E44551" w:rsidRDefault="009256A3" w:rsidP="00142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1C8099" w14:textId="1DA4CEEF" w:rsidR="009256A3" w:rsidRDefault="009256A3" w:rsidP="000C092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okviru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ovog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ukupnom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iznosu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256.000,00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dogradnju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mreže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slijedećim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ulicama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712E8E" w14:textId="77777777" w:rsidR="00E44551" w:rsidRPr="00E44551" w:rsidRDefault="00E44551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7E38F5" w14:textId="684EEDFC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- </w:t>
            </w:r>
            <w:proofErr w:type="spellStart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Mažuranićeva</w:t>
            </w:r>
            <w:proofErr w:type="spellEnd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                 </w:t>
            </w:r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100.000,00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EUR</w:t>
            </w:r>
          </w:p>
          <w:p w14:paraId="285C04DE" w14:textId="75E20883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- </w:t>
            </w:r>
            <w:proofErr w:type="spellStart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Poljičkih</w:t>
            </w:r>
            <w:proofErr w:type="spellEnd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knezova</w:t>
            </w:r>
            <w:proofErr w:type="spellEnd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            </w:t>
            </w:r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78.000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,00 EUR</w:t>
            </w:r>
          </w:p>
          <w:p w14:paraId="1263FFFD" w14:textId="26CAC626" w:rsidR="00361AF1" w:rsidRPr="00E44551" w:rsidRDefault="00361AF1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Kašićeva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Kaline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     60.000,00 EUR</w:t>
            </w:r>
          </w:p>
          <w:p w14:paraId="6D3387D8" w14:textId="77777777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B650B6B" w14:textId="79B37EBC" w:rsidR="009256A3" w:rsidRPr="00E44551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F291" w14:textId="23689F22" w:rsidR="009256A3" w:rsidRPr="00E44551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F4063" w14:paraId="50266225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ABE7" w14:textId="77777777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AF3DADB" w14:textId="77777777" w:rsidR="00655556" w:rsidRPr="00E44551" w:rsidRDefault="00655556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83B7237" w14:textId="77777777" w:rsidR="00655556" w:rsidRPr="00E44551" w:rsidRDefault="00655556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D21343E" w14:textId="37AD1D8C" w:rsidR="009256A3" w:rsidRPr="00E44551" w:rsidRDefault="009256A3" w:rsidP="00361AF1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31B8" w14:textId="422A573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29E4391E" w14:textId="77777777" w:rsidTr="00AF582A">
        <w:trPr>
          <w:gridAfter w:val="6"/>
          <w:wAfter w:w="760" w:type="pct"/>
          <w:trHeight w:val="300"/>
        </w:trPr>
        <w:tc>
          <w:tcPr>
            <w:tcW w:w="332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48BA" w14:textId="30D6FAC2" w:rsidR="009256A3" w:rsidRPr="003478DC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1012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PROSTORNO UREĐENJE I UNAPREĐENJE STANOVANJA</w:t>
            </w:r>
          </w:p>
        </w:tc>
        <w:tc>
          <w:tcPr>
            <w:tcW w:w="91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C695" w14:textId="0A2850F6" w:rsidR="009256A3" w:rsidRPr="003478DC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2.</w:t>
            </w:r>
            <w:r w:rsidR="00361AF1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809.000,00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61AF1" w:rsidRPr="00E44551" w14:paraId="6679AB8D" w14:textId="77777777" w:rsidTr="00AF582A">
        <w:trPr>
          <w:gridAfter w:val="5"/>
          <w:wAfter w:w="684" w:type="pct"/>
          <w:trHeight w:val="300"/>
        </w:trPr>
        <w:tc>
          <w:tcPr>
            <w:tcW w:w="431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A109" w14:textId="77777777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Provođenje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politike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radi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ujednačavanja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življenja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cijelom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području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osiguravanje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gospodarskih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kroz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održivi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prirodnih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tradicionalnih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kulturnih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vrijednosti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BF904C" w14:textId="47AB5064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9C3">
              <w:rPr>
                <w:rFonts w:ascii="Arial" w:hAnsi="Arial" w:cs="Arial"/>
                <w:sz w:val="22"/>
                <w:szCs w:val="22"/>
              </w:rPr>
              <w:lastRenderedPageBreak/>
              <w:t xml:space="preserve">Program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obuhvaća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izrada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pojedinačnih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akata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djelatnosti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dogradnju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objekata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infrastrukture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proširenje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cesta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izgradnja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sadržaja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javne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namjene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ostvarivanje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izgradnju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osnovne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škole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proširenje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baze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obveznika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naknade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naknade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voda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poreza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kuće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odmor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0F7EE9" w14:textId="77777777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Pokazatelji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uspješnosti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pokrivenost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područja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planskom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dokumentacijom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postotak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izgrađenosti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projekata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odnosu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rokove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dovršetka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E94460" w14:textId="67DA86A4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iznosu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2.809.000,00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  <w:p w14:paraId="28B1F17A" w14:textId="77777777" w:rsidR="00361AF1" w:rsidRPr="007A59C3" w:rsidRDefault="00361AF1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FFA7C" w14:textId="7CA3553B" w:rsidR="00361AF1" w:rsidRPr="00E44551" w:rsidRDefault="00361AF1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F4063" w14:paraId="764951FA" w14:textId="385EA767" w:rsidTr="00AF582A">
        <w:trPr>
          <w:trHeight w:val="300"/>
        </w:trPr>
        <w:tc>
          <w:tcPr>
            <w:tcW w:w="424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A6749" w14:textId="17F534DE" w:rsidR="009256A3" w:rsidRPr="00E44551" w:rsidRDefault="009256A3" w:rsidP="00361AF1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Projekt: Izrada prostorno planske dokumentacije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84.000,00 </w:t>
            </w:r>
            <w:proofErr w:type="spellStart"/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8DD2E" w14:textId="5705FBEC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7F4063" w14:paraId="691C110D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2AC5" w14:textId="5C4DA89E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oviru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ovog projekta sredstva su planirana za donošenje provedbenih akata sukladno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postoječem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prostornom planu Općine Podstrana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ACA5" w14:textId="77F7A85E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63FE3C89" w14:textId="77777777" w:rsidTr="00AF582A">
        <w:trPr>
          <w:gridAfter w:val="6"/>
          <w:wAfter w:w="760" w:type="pct"/>
          <w:trHeight w:val="300"/>
        </w:trPr>
        <w:tc>
          <w:tcPr>
            <w:tcW w:w="2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6564" w14:textId="0D7C39C3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Rekonstrukcija javne rasvjete</w:t>
            </w:r>
          </w:p>
        </w:tc>
        <w:tc>
          <w:tcPr>
            <w:tcW w:w="204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759D7" w14:textId="364BE0A0" w:rsidR="009256A3" w:rsidRPr="00E44551" w:rsidRDefault="00361AF1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370.000,00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9F71E1A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1B20" w14:textId="704DAB7E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Obuvaća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zamjenu i dogradnju javne rasvjete u ulicama navedenim u programu građenja za 202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godinu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A10D" w14:textId="3933BD76" w:rsidR="009256A3" w:rsidRPr="00E44551" w:rsidRDefault="009256A3" w:rsidP="00361AF1">
            <w:pPr>
              <w:tabs>
                <w:tab w:val="left" w:pos="1701"/>
              </w:tabs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667F0275" w14:textId="57E728EE" w:rsidTr="00AF582A">
        <w:trPr>
          <w:trHeight w:val="300"/>
        </w:trPr>
        <w:tc>
          <w:tcPr>
            <w:tcW w:w="424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B7CC9" w14:textId="245CC19F" w:rsidR="009256A3" w:rsidRPr="00E44551" w:rsidRDefault="009256A3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Groblje Ban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                             500.000,00 </w:t>
            </w:r>
            <w:proofErr w:type="spellStart"/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A0EFF" w14:textId="10F82EB6" w:rsidR="009256A3" w:rsidRPr="00E44551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024475D0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B5FE" w14:textId="6A81A0A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tva planirana za izgradnju natkrivenog prostora za ispra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ć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aj 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B659" w14:textId="67E24771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7DABB53E" w14:textId="7FB6F264" w:rsidTr="00AF582A">
        <w:trPr>
          <w:trHeight w:val="300"/>
        </w:trPr>
        <w:tc>
          <w:tcPr>
            <w:tcW w:w="424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28601" w14:textId="62ED8967" w:rsidR="009256A3" w:rsidRPr="00E44551" w:rsidRDefault="009256A3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Osnovna škola "Sveti Martin"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   40.000,00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DE868" w14:textId="3AE4432E" w:rsidR="009256A3" w:rsidRPr="00E44551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0D8AF4BB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5B3F" w14:textId="48B16EF3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 202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godini planira se izraditi projektnu dokumentaciju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3996" w14:textId="212C84C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F4063" w14:paraId="7CD4BC8E" w14:textId="00394CED" w:rsidTr="00AF582A">
        <w:trPr>
          <w:trHeight w:val="300"/>
        </w:trPr>
        <w:tc>
          <w:tcPr>
            <w:tcW w:w="424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1B37" w14:textId="21B4F979" w:rsidR="009256A3" w:rsidRPr="00E44551" w:rsidRDefault="009256A3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Geodetski elaborati nerazvrstanih cesta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10.000,00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D154" w14:textId="3021D5B3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7F4063" w14:paraId="5B43AA80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571E" w14:textId="68AEE6A5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namjenjena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izradi dokumentacije za rekonstrukciju nerazvrstanih cesta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E1AE" w14:textId="0CA26FC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F4063" w14:paraId="7385848D" w14:textId="1B5BF19B" w:rsidTr="00AF582A">
        <w:trPr>
          <w:trHeight w:val="300"/>
        </w:trPr>
        <w:tc>
          <w:tcPr>
            <w:tcW w:w="424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2E06" w14:textId="6DDC06F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SC Miljevac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               30.000,00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08055" w14:textId="6A528881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7F4063" w14:paraId="53DA9712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C59E" w14:textId="4DBD1C6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 je početak izgradnje sukladno planskoj dokumentaciji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256D" w14:textId="10C77C9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F4063" w14:paraId="0EF608A6" w14:textId="61FCF599" w:rsidTr="00AF582A">
        <w:trPr>
          <w:trHeight w:val="300"/>
        </w:trPr>
        <w:tc>
          <w:tcPr>
            <w:tcW w:w="424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32602" w14:textId="053F78C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Stambeno zbrinjavanje branitelja iz DR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270.000 00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6D89B" w14:textId="2421B209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7F4063" w14:paraId="26D6B472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6A87" w14:textId="1F54ADE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Otkup zemljišta za planiranu izgradnju stanova  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807B" w14:textId="3BB7C41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F4063" w14:paraId="136E3C27" w14:textId="787CFE0D" w:rsidTr="00AF582A">
        <w:trPr>
          <w:trHeight w:val="300"/>
        </w:trPr>
        <w:tc>
          <w:tcPr>
            <w:tcW w:w="424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B1AE" w14:textId="0478995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Uređenje protupožarnog puta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15.000,00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B3181" w14:textId="13EA4F0B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7F4063" w14:paraId="7F95DFDF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3104" w14:textId="565371E4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Redovna godišnja aktivnost uklanjanje raslinja te sanacija odrona s ciljem održavanja prohodnosti protupožarnih puteva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1163" w14:textId="6F088C55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F4063" w14:paraId="1ADD85BB" w14:textId="336344DB" w:rsidTr="00AF582A">
        <w:trPr>
          <w:trHeight w:val="300"/>
        </w:trPr>
        <w:tc>
          <w:tcPr>
            <w:tcW w:w="424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392A4" w14:textId="10DEA0A8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Izgradnja APS centra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Petrićevo</w:t>
            </w:r>
            <w:proofErr w:type="spellEnd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55C08" w14:textId="35FC7B43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7F4063" w14:paraId="15A133D0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7735" w14:textId="076DED1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Izrada projektne dokumentacije za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ishodovanje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građevinske dozvole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F636" w14:textId="32117FD9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7F4063" w14:paraId="6449D079" w14:textId="7B0424E1" w:rsidTr="00AF582A">
        <w:trPr>
          <w:trHeight w:val="300"/>
        </w:trPr>
        <w:tc>
          <w:tcPr>
            <w:tcW w:w="424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1BA8" w14:textId="47C618DC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Izgradnja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dječjeg igrališta na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Grljevcu</w:t>
            </w:r>
            <w:proofErr w:type="spellEnd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7C678" w14:textId="24E96682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E44551" w14:paraId="00D69612" w14:textId="77777777" w:rsidTr="00AF582A">
        <w:trPr>
          <w:gridAfter w:val="6"/>
          <w:wAfter w:w="760" w:type="pct"/>
          <w:trHeight w:val="300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AC23" w14:textId="77777777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 xml:space="preserve">Planira se izgradnja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dječjeg igrališta na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Grljevcu</w:t>
            </w:r>
            <w:proofErr w:type="spellEnd"/>
          </w:p>
          <w:p w14:paraId="580E100D" w14:textId="2869BED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Vanjska vježbališta                                                                             </w:t>
            </w:r>
          </w:p>
          <w:p w14:paraId="644D5CE5" w14:textId="719F5C6F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09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AF16" w14:textId="1ED23101" w:rsidR="00B20AD7" w:rsidRPr="00E44551" w:rsidRDefault="00AF582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45.000,00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1D51B2E6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7A972" w14:textId="232EE309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 se nabavka opreme za postavljanje sprava za vježbanje na otvorenom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547B" w14:textId="77777777" w:rsidR="00B20AD7" w:rsidRPr="00E44551" w:rsidRDefault="00B20AD7" w:rsidP="00B20AD7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4057F639" w14:textId="7A4527D1" w:rsidTr="00AF582A">
        <w:trPr>
          <w:trHeight w:val="300"/>
        </w:trPr>
        <w:tc>
          <w:tcPr>
            <w:tcW w:w="424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5A717" w14:textId="573853E4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Sanacija pješačke i biciklističke staze na obalnom području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1.000.000,00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57449" w14:textId="58C89786" w:rsidR="009256A3" w:rsidRPr="00E44551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5CA0CC66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5898" w14:textId="5D2D9912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Nastavak izgradnje započete u 2022. godini s ciljem povezivanja obalne šetnice 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82E1" w14:textId="2269E5E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7F3E8E1D" w14:textId="77777777" w:rsidTr="00AF582A">
        <w:trPr>
          <w:gridAfter w:val="6"/>
          <w:wAfter w:w="760" w:type="pct"/>
          <w:trHeight w:val="300"/>
        </w:trPr>
        <w:tc>
          <w:tcPr>
            <w:tcW w:w="2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B704" w14:textId="4AB45875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Izgradnja Nove osnovne škole                                                             </w:t>
            </w:r>
          </w:p>
        </w:tc>
        <w:tc>
          <w:tcPr>
            <w:tcW w:w="204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3C3E1" w14:textId="26F73E40" w:rsidR="00B20AD7" w:rsidRPr="00E44551" w:rsidRDefault="00AF582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49FCC647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A77D7" w14:textId="42F04F55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glavni projekt izgradnje osnovne škole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40F4" w14:textId="7777777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1890249C" w14:textId="77777777" w:rsidTr="00AF582A">
        <w:trPr>
          <w:gridAfter w:val="6"/>
          <w:wAfter w:w="760" w:type="pct"/>
          <w:trHeight w:val="300"/>
        </w:trPr>
        <w:tc>
          <w:tcPr>
            <w:tcW w:w="2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A8C95" w14:textId="56A4FCEC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sportske lučice Sv. Martin</w:t>
            </w:r>
          </w:p>
        </w:tc>
        <w:tc>
          <w:tcPr>
            <w:tcW w:w="204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FD01F" w14:textId="761BF0B8" w:rsidR="00B20AD7" w:rsidRPr="00E44551" w:rsidRDefault="00AF582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468DBEC0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7BE0" w14:textId="20A1AE7D" w:rsidR="00B20AD7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glavni projekt izgradnje sportske lučice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095B" w14:textId="7777777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655556" w:rsidRPr="00E44551" w14:paraId="453B8158" w14:textId="77777777" w:rsidTr="00AF582A">
        <w:trPr>
          <w:gridAfter w:val="6"/>
          <w:wAfter w:w="760" w:type="pct"/>
          <w:trHeight w:val="300"/>
        </w:trPr>
        <w:tc>
          <w:tcPr>
            <w:tcW w:w="22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123E" w14:textId="4A8B8A08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Očuvanje kulturne baštine</w:t>
            </w:r>
          </w:p>
        </w:tc>
        <w:tc>
          <w:tcPr>
            <w:tcW w:w="2005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ABB2C" w14:textId="7069639C" w:rsidR="00655556" w:rsidRPr="00E44551" w:rsidRDefault="00655556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35.000,00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1BE18ED2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FF034" w14:textId="7747D6C8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restauraciju sakralnih objekata na području Općine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EB710" w14:textId="77777777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2E06AA5F" w14:textId="0A42398F" w:rsidTr="00AF582A">
        <w:trPr>
          <w:trHeight w:val="300"/>
        </w:trPr>
        <w:tc>
          <w:tcPr>
            <w:tcW w:w="34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4CF6F" w14:textId="750D143A" w:rsidR="009256A3" w:rsidRPr="003478DC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 xml:space="preserve"> 1013</w:t>
            </w:r>
            <w:r w:rsidRP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: RAZVOJ I SIGURNOST PROMETA</w:t>
            </w:r>
          </w:p>
        </w:tc>
        <w:tc>
          <w:tcPr>
            <w:tcW w:w="159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6E736" w14:textId="0CE4B8D9" w:rsidR="009256A3" w:rsidRPr="00E44551" w:rsidRDefault="00655556" w:rsidP="00B20AD7">
            <w:pPr>
              <w:ind w:left="79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2.462.000,00</w:t>
            </w:r>
            <w:r w:rsidR="009256A3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23A047B9" w14:textId="77777777" w:rsidTr="00AF582A">
        <w:trPr>
          <w:gridAfter w:val="6"/>
          <w:wAfter w:w="760" w:type="pct"/>
          <w:trHeight w:val="300"/>
        </w:trPr>
        <w:tc>
          <w:tcPr>
            <w:tcW w:w="22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5D04" w14:textId="6F27931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i rekonstrukcija ulica</w:t>
            </w:r>
          </w:p>
        </w:tc>
        <w:tc>
          <w:tcPr>
            <w:tcW w:w="2005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34E0" w14:textId="7A2DCA14" w:rsidR="009256A3" w:rsidRPr="00E44551" w:rsidRDefault="00655556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2.397.000,00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7F4063" w14:paraId="5AB76B65" w14:textId="77777777" w:rsidTr="00AF582A">
        <w:trPr>
          <w:gridAfter w:val="6"/>
          <w:wAfter w:w="760" w:type="pct"/>
          <w:trHeight w:val="300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4F95" w14:textId="1AEC52E7" w:rsidR="009256A3" w:rsidRPr="00E44551" w:rsidRDefault="009256A3" w:rsidP="00BB5C03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obuhvaćaju projektnu dokumentaciju, otkup zemljišta te radove u svrhu proširenja postojećih ulica. Iznosi za pojedine zahvate prikazani su u 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Programu građenja komunalne infrastrukture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 202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godinu.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FCFE" w14:textId="17D284B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348E00E" w14:textId="4AABC258" w:rsidTr="00AF582A">
        <w:trPr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E92A" w14:textId="6F22C2DA" w:rsidR="009256A3" w:rsidRPr="00E44551" w:rsidRDefault="009256A3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Južni nogostup uz D8 - kod HC Lav</w:t>
            </w:r>
          </w:p>
        </w:tc>
        <w:tc>
          <w:tcPr>
            <w:tcW w:w="272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B8741" w14:textId="24922DFD" w:rsidR="009256A3" w:rsidRPr="00E44551" w:rsidRDefault="00655556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7F4063" w14:paraId="4E4F652C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FAB3" w14:textId="67273F03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Izgradnja nogostupa, radi povećane sigurnosti pješaka na predmetnoj dionici.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8C48" w14:textId="359EE5B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2C233A7D" w14:textId="77777777" w:rsidTr="00AF582A">
        <w:trPr>
          <w:gridAfter w:val="5"/>
          <w:wAfter w:w="684" w:type="pct"/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0BE6A" w14:textId="66EF153C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Prometna svjetlosna signalizacija na pješačkim prijelazima</w:t>
            </w:r>
          </w:p>
        </w:tc>
        <w:tc>
          <w:tcPr>
            <w:tcW w:w="2038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5EBC9" w14:textId="41A22223" w:rsidR="00655556" w:rsidRPr="00E44551" w:rsidRDefault="00655556" w:rsidP="00234A9A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45.000,00 </w:t>
            </w:r>
            <w:proofErr w:type="spellStart"/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ur</w:t>
            </w:r>
            <w:proofErr w:type="spellEnd"/>
          </w:p>
        </w:tc>
      </w:tr>
      <w:tr w:rsidR="00AB7C7C" w:rsidRPr="00E44551" w14:paraId="4CBC2FE2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7EFE5" w14:textId="65B193AC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Ugradnje svjetlosne signalizacije na pješačkim prijelazima na području Općine radi povećanja sigurnosti pješaka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201F" w14:textId="77777777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570AF77" w14:textId="0E86E460" w:rsidTr="00AF582A">
        <w:trPr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A5A8E" w14:textId="7807892A" w:rsidR="009256A3" w:rsidRPr="003478DC" w:rsidRDefault="009256A3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1014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ODRŽAVANJE KOMUNALNE INFRASTRUKTURE</w:t>
            </w:r>
          </w:p>
        </w:tc>
        <w:tc>
          <w:tcPr>
            <w:tcW w:w="15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3F00B" w14:textId="0524EC1F" w:rsidR="009256A3" w:rsidRPr="003478DC" w:rsidRDefault="00655556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1.1</w:t>
            </w:r>
            <w:r w:rsidR="001724AD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1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7.000,00</w:t>
            </w:r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61AF1" w:rsidRPr="007F4063" w14:paraId="502ECAFD" w14:textId="77777777" w:rsidTr="00AF582A">
        <w:trPr>
          <w:gridAfter w:val="1"/>
          <w:wAfter w:w="432" w:type="pct"/>
          <w:trHeight w:val="300"/>
        </w:trPr>
        <w:tc>
          <w:tcPr>
            <w:tcW w:w="4568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D4DA" w14:textId="42E76B37" w:rsidR="00361AF1" w:rsidRPr="007A59C3" w:rsidRDefault="00361AF1" w:rsidP="00B173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sukladno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Zakonu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gospodarstvu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Odlukama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osigurava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infrastrukture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nadležnosti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</w:t>
            </w:r>
            <w:r w:rsidR="00655556"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F4FB61" w14:textId="05E02094" w:rsidR="00361AF1" w:rsidRPr="007A59C3" w:rsidRDefault="00361AF1" w:rsidP="000C09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Pokazatelji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uspješnosti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km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cesta,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intervencija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stupovima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  <w:r w:rsidR="00655556"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.</w:t>
            </w:r>
          </w:p>
          <w:p w14:paraId="15FAF924" w14:textId="77777777" w:rsidR="00655556" w:rsidRPr="007A59C3" w:rsidRDefault="00655556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D8A0E4" w14:textId="6DAB2BE9" w:rsidR="00361AF1" w:rsidRPr="00E44551" w:rsidRDefault="00361AF1" w:rsidP="000C092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realizaciju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su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iznosu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od </w:t>
            </w:r>
            <w:r w:rsidR="00BB5C03" w:rsidRPr="00E44551">
              <w:rPr>
                <w:rFonts w:ascii="Arial" w:hAnsi="Arial" w:cs="Arial"/>
                <w:sz w:val="22"/>
                <w:szCs w:val="22"/>
                <w:lang w:val="it-IT"/>
              </w:rPr>
              <w:t>1.1</w:t>
            </w:r>
            <w:r w:rsidR="00AF582A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  <w:r w:rsidR="00BB5C03" w:rsidRPr="00E44551">
              <w:rPr>
                <w:rFonts w:ascii="Arial" w:hAnsi="Arial" w:cs="Arial"/>
                <w:sz w:val="22"/>
                <w:szCs w:val="22"/>
                <w:lang w:val="it-IT"/>
              </w:rPr>
              <w:t>7.000,00 Eur</w:t>
            </w:r>
          </w:p>
          <w:p w14:paraId="56E9199B" w14:textId="68780B0D" w:rsidR="00361AF1" w:rsidRPr="00E44551" w:rsidRDefault="00361AF1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14088A64" w14:textId="60696F3A" w:rsidTr="00AF582A">
        <w:trPr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98537" w14:textId="55A0FB9B" w:rsidR="009256A3" w:rsidRPr="00E44551" w:rsidRDefault="009256A3" w:rsidP="00B173AE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Aktivnost: Održavanje nerazvrstanih ulica</w:t>
            </w:r>
          </w:p>
        </w:tc>
        <w:tc>
          <w:tcPr>
            <w:tcW w:w="272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CEEC5" w14:textId="04AF5172" w:rsidR="009256A3" w:rsidRPr="00E44551" w:rsidRDefault="00AF582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</w:t>
            </w:r>
            <w:r w:rsidR="001724AD">
              <w:rPr>
                <w:rFonts w:ascii="Arial" w:eastAsia="Calibri" w:hAnsi="Arial" w:cs="Arial"/>
                <w:sz w:val="22"/>
                <w:szCs w:val="22"/>
                <w:lang w:val="hr-HR"/>
              </w:rPr>
              <w:t>58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7E0C00D9" w14:textId="77777777" w:rsidTr="00AF582A">
        <w:trPr>
          <w:gridAfter w:val="6"/>
          <w:wAfter w:w="760" w:type="pct"/>
          <w:trHeight w:val="300"/>
        </w:trPr>
        <w:tc>
          <w:tcPr>
            <w:tcW w:w="411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6EA0E" w14:textId="77777777" w:rsidR="009256A3" w:rsidRPr="007A59C3" w:rsidRDefault="009256A3" w:rsidP="00760B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ulica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asfalta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uslijed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mehaničkog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oštećenja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habanja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,  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djelovanja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oborinskih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voda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zimsko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cesta,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regulaciju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prometa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prometnu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signalizaciju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.</w:t>
            </w:r>
          </w:p>
          <w:p w14:paraId="2E2E38C8" w14:textId="1BE14CA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52793" w14:textId="65BC8F51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07D8B172" w14:textId="5BCDDF37" w:rsidTr="00AF582A">
        <w:trPr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A1A89" w14:textId="608DC21A" w:rsidR="009256A3" w:rsidRPr="00E44551" w:rsidRDefault="009256A3" w:rsidP="00760B3C">
            <w:pPr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Održavanje plaža</w:t>
            </w:r>
          </w:p>
        </w:tc>
        <w:tc>
          <w:tcPr>
            <w:tcW w:w="272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916C8" w14:textId="07DCB7B5" w:rsidR="009256A3" w:rsidRPr="00E44551" w:rsidRDefault="00BB5C03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100.000,00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3FCA09BB" w14:textId="77777777" w:rsidTr="00AF582A">
        <w:trPr>
          <w:gridAfter w:val="6"/>
          <w:wAfter w:w="760" w:type="pct"/>
          <w:trHeight w:val="709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41443" w14:textId="77777777" w:rsidR="00BB5C03" w:rsidRPr="00E44551" w:rsidRDefault="00BB5C03" w:rsidP="00760B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</w:p>
          <w:p w14:paraId="56CB4295" w14:textId="26C764A0" w:rsidR="009256A3" w:rsidRPr="00E44551" w:rsidRDefault="00BB5C03" w:rsidP="00760B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plaža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prihranu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plaža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kamenim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agregatom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obalnih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pera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uslijed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djelovanja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morskih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valova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. </w:t>
            </w:r>
          </w:p>
          <w:p w14:paraId="2D898BDB" w14:textId="21370519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71053" w14:textId="44AA211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12981D38" w14:textId="3A7DC7F5" w:rsidTr="00AF582A">
        <w:trPr>
          <w:trHeight w:val="300"/>
        </w:trPr>
        <w:tc>
          <w:tcPr>
            <w:tcW w:w="23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A2D1" w14:textId="6AA92165" w:rsidR="009256A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sustava bicikala</w:t>
            </w:r>
          </w:p>
        </w:tc>
        <w:tc>
          <w:tcPr>
            <w:tcW w:w="268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CE331" w14:textId="67018C49" w:rsidR="009256A3" w:rsidRPr="00E44551" w:rsidRDefault="00AF58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16.000,00 </w:t>
            </w:r>
            <w:proofErr w:type="spellStart"/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BB5C03" w:rsidRPr="007F4063" w14:paraId="3E28D3A8" w14:textId="77777777" w:rsidTr="00AF582A">
        <w:trPr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229A" w14:textId="1040CDF3" w:rsidR="00BB5C0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za održavanje sustava bicikala</w:t>
            </w:r>
          </w:p>
        </w:tc>
        <w:tc>
          <w:tcPr>
            <w:tcW w:w="13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D7184" w14:textId="77777777" w:rsidR="00BB5C03" w:rsidRPr="00E44551" w:rsidRDefault="00BB5C03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BB5C03" w:rsidRPr="00E44551" w14:paraId="209DADDD" w14:textId="77777777" w:rsidTr="00AF582A">
        <w:trPr>
          <w:trHeight w:val="300"/>
        </w:trPr>
        <w:tc>
          <w:tcPr>
            <w:tcW w:w="23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A82D" w14:textId="41826154" w:rsidR="00BB5C0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javne rasvjete</w:t>
            </w:r>
          </w:p>
        </w:tc>
        <w:tc>
          <w:tcPr>
            <w:tcW w:w="268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174E1" w14:textId="6515651D" w:rsidR="00BB5C03" w:rsidRPr="00E44551" w:rsidRDefault="00AF582A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204.000,00 </w:t>
            </w:r>
            <w:proofErr w:type="spellStart"/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02183191" w14:textId="77777777" w:rsidTr="00AF582A">
        <w:trPr>
          <w:gridAfter w:val="6"/>
          <w:wAfter w:w="760" w:type="pct"/>
          <w:trHeight w:val="300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A32C3" w14:textId="77777777" w:rsidR="009256A3" w:rsidRPr="00E44551" w:rsidRDefault="009256A3" w:rsidP="00760B3C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okviru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ovog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sljedeće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4E43302" w14:textId="07B1A22D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plaćanje utroška i distribucije el.</w:t>
            </w:r>
            <w:r w:rsidR="00BB5C03"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energije i tekućeg održavanja zamjene žarulja, lampi, stupova, prigušnica i ostalih potrebnih radnji te dobava potrebnog </w:t>
            </w:r>
            <w:proofErr w:type="spellStart"/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elektromaterijala</w:t>
            </w:r>
            <w:proofErr w:type="spellEnd"/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B909" w14:textId="21299C8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18DF66C6" w14:textId="34B82AC1" w:rsidTr="00AF582A">
        <w:trPr>
          <w:gridAfter w:val="9"/>
          <w:wAfter w:w="1336" w:type="pct"/>
          <w:trHeight w:val="300"/>
        </w:trPr>
        <w:tc>
          <w:tcPr>
            <w:tcW w:w="24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BCC4" w14:textId="112A1124" w:rsidR="009256A3" w:rsidRPr="00E44551" w:rsidRDefault="009256A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dječjih igrališta</w:t>
            </w:r>
          </w:p>
        </w:tc>
        <w:tc>
          <w:tcPr>
            <w:tcW w:w="126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CFAB1" w14:textId="3B432454" w:rsidR="009256A3" w:rsidRPr="00E44551" w:rsidRDefault="001724AD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19</w:t>
            </w:r>
            <w:r w:rsidR="00BB5C03" w:rsidRPr="00E44551">
              <w:rPr>
                <w:rFonts w:ascii="Arial" w:hAnsi="Arial" w:cs="Arial"/>
                <w:sz w:val="22"/>
                <w:szCs w:val="22"/>
                <w:lang w:val="hr-HR"/>
              </w:rPr>
              <w:t xml:space="preserve">0.000,00 </w:t>
            </w:r>
            <w:proofErr w:type="spellStart"/>
            <w:r w:rsidR="00BB5C03" w:rsidRPr="00E44551">
              <w:rPr>
                <w:rFonts w:ascii="Arial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31C635B8" w14:textId="77777777" w:rsidTr="00AF582A">
        <w:trPr>
          <w:gridAfter w:val="6"/>
          <w:wAfter w:w="760" w:type="pct"/>
          <w:trHeight w:val="225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29FE" w14:textId="2C8B5D42" w:rsidR="009256A3" w:rsidRPr="00E44551" w:rsidRDefault="009256A3" w:rsidP="003526D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Popravak te zamjena postojeće opreme.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E1F5" w14:textId="71B2248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3478DC" w:rsidRPr="00E44551" w14:paraId="6A57D6DD" w14:textId="77777777" w:rsidTr="00AF582A">
        <w:trPr>
          <w:gridAfter w:val="2"/>
          <w:wAfter w:w="547" w:type="pct"/>
          <w:trHeight w:val="225"/>
        </w:trPr>
        <w:tc>
          <w:tcPr>
            <w:tcW w:w="23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B3DC6" w14:textId="5E1635CA" w:rsidR="003526D0" w:rsidRPr="00E44551" w:rsidRDefault="003526D0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autobusnih stajališta</w:t>
            </w:r>
          </w:p>
        </w:tc>
        <w:tc>
          <w:tcPr>
            <w:tcW w:w="213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BBBB" w14:textId="4FD323FC" w:rsidR="003526D0" w:rsidRPr="00E44551" w:rsidRDefault="00AF582A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27.000,00 </w:t>
            </w:r>
            <w:proofErr w:type="spellStart"/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2059CC7F" w14:textId="77777777" w:rsidTr="00AF582A">
        <w:trPr>
          <w:gridAfter w:val="6"/>
          <w:wAfter w:w="760" w:type="pct"/>
          <w:trHeight w:val="225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35DD" w14:textId="53252E0D" w:rsidR="003526D0" w:rsidRPr="00E44551" w:rsidRDefault="003526D0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nabavu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ovih autobusnih nadstrešnica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1767" w14:textId="77777777" w:rsidR="003526D0" w:rsidRPr="00E44551" w:rsidRDefault="003526D0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75E1E2E" w14:textId="3D8BB8CE" w:rsidTr="00AF582A">
        <w:trPr>
          <w:trHeight w:val="300"/>
        </w:trPr>
        <w:tc>
          <w:tcPr>
            <w:tcW w:w="349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47B1" w14:textId="6E5F7050" w:rsidR="009256A3" w:rsidRPr="00E44551" w:rsidRDefault="009256A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1015</w:t>
            </w: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UPRAVLJANJE IMOVINOM</w:t>
            </w:r>
          </w:p>
        </w:tc>
        <w:tc>
          <w:tcPr>
            <w:tcW w:w="150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D8F7A" w14:textId="30AB330A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 </w:t>
            </w:r>
            <w:r w:rsidR="009256A3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1.114.872 </w:t>
            </w:r>
            <w:proofErr w:type="spellStart"/>
            <w:r w:rsidR="009256A3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0DEA3A03" w14:textId="45DF9108" w:rsidTr="00AF582A">
        <w:trPr>
          <w:trHeight w:val="300"/>
        </w:trPr>
        <w:tc>
          <w:tcPr>
            <w:tcW w:w="23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DBE9" w14:textId="2E7DA926" w:rsidR="009256A3" w:rsidRPr="00E44551" w:rsidRDefault="009256A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Resturacija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-konzervacija umjetničkih djela</w:t>
            </w:r>
          </w:p>
        </w:tc>
        <w:tc>
          <w:tcPr>
            <w:tcW w:w="263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BC2AA" w14:textId="3E2789A9" w:rsidR="009256A3" w:rsidRPr="00E44551" w:rsidRDefault="003526D0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2.000,00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219D1A1" w14:textId="77777777" w:rsidTr="00AF582A">
        <w:trPr>
          <w:gridAfter w:val="6"/>
          <w:wAfter w:w="760" w:type="pct"/>
          <w:trHeight w:val="46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E40D1" w14:textId="0EB37E76" w:rsidR="009256A3" w:rsidRPr="00E44551" w:rsidRDefault="009256A3" w:rsidP="008A4A29">
            <w:pPr>
              <w:tabs>
                <w:tab w:val="left" w:pos="1701"/>
              </w:tabs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restauraciju slika iz fundusa slikara Mirka Račkog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5836" w14:textId="027FB681" w:rsidR="009256A3" w:rsidRPr="00E44551" w:rsidRDefault="009256A3" w:rsidP="008A4A29">
            <w:pPr>
              <w:tabs>
                <w:tab w:val="left" w:pos="1701"/>
              </w:tabs>
              <w:spacing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3F1B0463" w14:textId="7D279FD3" w:rsidTr="00AF582A">
        <w:trPr>
          <w:trHeight w:val="300"/>
        </w:trPr>
        <w:tc>
          <w:tcPr>
            <w:tcW w:w="23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B7381" w14:textId="0AA8F25E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objekata u vlasništvu i posjedu Općine Podstrana</w:t>
            </w:r>
          </w:p>
        </w:tc>
        <w:tc>
          <w:tcPr>
            <w:tcW w:w="263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B5C75" w14:textId="2F4D9BD9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47.000,00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71FB660F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2B6E3" w14:textId="130629D2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tekuće održavanje objekata u posjedu Općine Podstrana ( popravak ili zamjena sanitarija, stolarije, elektroinstalacija te obrada zidova)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EE5F" w14:textId="788920C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57AA4F5A" w14:textId="58BD28A4" w:rsidTr="00AF582A">
        <w:trPr>
          <w:trHeight w:val="300"/>
        </w:trPr>
        <w:tc>
          <w:tcPr>
            <w:tcW w:w="23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E8A3E" w14:textId="1C53F9A3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Uređenje i opremanje zgrada u vlasništvu i posjedu Općine Podstrana</w:t>
            </w:r>
          </w:p>
        </w:tc>
        <w:tc>
          <w:tcPr>
            <w:tcW w:w="263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CF80A" w14:textId="7DD1D2F1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59.000,00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69A119D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74C74" w14:textId="7E765263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dodatna ulaganja na zgradama 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D37B" w14:textId="3FBBF2D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4E5D32EA" w14:textId="1066B723" w:rsidTr="00AF582A">
        <w:trPr>
          <w:trHeight w:val="300"/>
        </w:trPr>
        <w:tc>
          <w:tcPr>
            <w:tcW w:w="24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EEC7" w14:textId="7F7DADB2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Projekt: Zgrada javne i društvene namjene u Sv. Martinu (ex. Vinkovačko)</w:t>
            </w:r>
          </w:p>
        </w:tc>
        <w:tc>
          <w:tcPr>
            <w:tcW w:w="259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C75A8" w14:textId="0C5EE0FE" w:rsidR="009256A3" w:rsidRPr="00E44551" w:rsidRDefault="003478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30.000,00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2A64257A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29E82" w14:textId="5B84A644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 202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 godini sredstva su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namjenjena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i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zradu glavnog projekta.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BF56" w14:textId="28605D5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2951BC2" w14:textId="115732FF" w:rsidTr="00AF582A">
        <w:trPr>
          <w:trHeight w:val="300"/>
        </w:trPr>
        <w:tc>
          <w:tcPr>
            <w:tcW w:w="23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8F16" w14:textId="4D12A7EE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sportsk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dvoran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</w:t>
            </w:r>
            <w:proofErr w:type="spellStart"/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Strožancu</w:t>
            </w:r>
            <w:proofErr w:type="spellEnd"/>
          </w:p>
        </w:tc>
        <w:tc>
          <w:tcPr>
            <w:tcW w:w="263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0C78" w14:textId="106BA328" w:rsidR="009256A3" w:rsidRPr="00E44551" w:rsidRDefault="003526D0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1.000.000,00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3DF7D29C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E8DFD" w14:textId="4896BC7D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Planirana su sredstva za izradu projektne dokumentacije te početak izgradnje 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067D" w14:textId="3FFE8FC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3AE418A4" w14:textId="77777777" w:rsidTr="00AF582A">
        <w:trPr>
          <w:gridAfter w:val="3"/>
          <w:wAfter w:w="550" w:type="pct"/>
          <w:trHeight w:val="300"/>
        </w:trPr>
        <w:tc>
          <w:tcPr>
            <w:tcW w:w="244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B2D69" w14:textId="7452FB84" w:rsidR="009256A3" w:rsidRPr="00E44551" w:rsidRDefault="003526D0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Poslovni centar s garažom Miljevac</w:t>
            </w:r>
          </w:p>
        </w:tc>
        <w:tc>
          <w:tcPr>
            <w:tcW w:w="200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DDF0" w14:textId="45F6EFEE" w:rsidR="009256A3" w:rsidRPr="00E44551" w:rsidRDefault="003526D0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70.000,00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2E6A456B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8568" w14:textId="19DFA444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2022. godini izvršen je otkup zemljišta na predjelu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Grljevac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, te se u 2023. god. osiguravaju sredstva za izradu projektne dokumentacije za izgradnju poslovnog centra s javnom garažom. 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E5B6" w14:textId="3D5018F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9F1B652" w14:textId="77777777" w:rsidTr="00AF582A">
        <w:trPr>
          <w:gridAfter w:val="4"/>
          <w:wAfter w:w="619" w:type="pct"/>
          <w:trHeight w:val="300"/>
        </w:trPr>
        <w:tc>
          <w:tcPr>
            <w:tcW w:w="24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ECD8" w14:textId="5F3D65D5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novog vatrogasnog doma</w:t>
            </w:r>
          </w:p>
        </w:tc>
        <w:tc>
          <w:tcPr>
            <w:tcW w:w="197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2636" w14:textId="06D47D89" w:rsidR="00234A9A" w:rsidRPr="00E44551" w:rsidRDefault="00262EA4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50.000,00 </w:t>
            </w:r>
            <w:proofErr w:type="spellStart"/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700A28F8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98970" w14:textId="5EA2F818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su sredstva za izradu projektne dokumentacije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A7011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2D32F773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52335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7B18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526248B" w14:textId="77777777" w:rsidTr="00AF582A">
        <w:trPr>
          <w:gridAfter w:val="6"/>
          <w:wAfter w:w="760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77D7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2F6D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</w:tbl>
    <w:p w14:paraId="1E824B1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GLAVA 00602: Odsjek za komunalno redarstvo</w:t>
      </w:r>
    </w:p>
    <w:p w14:paraId="0786F92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Komunalno redarstvo obavlja nadzor nad provođenjem i poštivanjem Odluke o komunalnom redu i drugih odluka Općinskog Vijeća, vezanih uz komunalno gospodarstvo, ali i niza drugih propisa.</w:t>
      </w:r>
    </w:p>
    <w:p w14:paraId="60116AE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odsjek obavlja i poslove nadzora nepropisno zaustavljenih i parkiranih vozila te upravljanja prometom, s ciljem rješavanja prometnih problema.</w:t>
      </w:r>
    </w:p>
    <w:p w14:paraId="173E943B" w14:textId="691D77D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Za rashode redovnog poslovanja ovog odsjeka osigurava se iznos od </w:t>
      </w:r>
      <w:r w:rsidR="00234A9A" w:rsidRPr="00E44551">
        <w:rPr>
          <w:rFonts w:ascii="Arial" w:eastAsia="Calibri" w:hAnsi="Arial" w:cs="Arial"/>
          <w:sz w:val="22"/>
          <w:szCs w:val="22"/>
          <w:lang w:val="hr-HR"/>
        </w:rPr>
        <w:t>133.700,00</w:t>
      </w:r>
      <w:r w:rsidR="007A118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118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što obuhvaća plaće i druge naknade za zaposlene.</w:t>
      </w:r>
    </w:p>
    <w:p w14:paraId="56C96862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7B66659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007: VLASTITI KOMUNALNI POGON</w:t>
      </w:r>
    </w:p>
    <w:p w14:paraId="7B8129A3" w14:textId="5CB98AD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Vlastiti pogon obavlja djelatnosti održavanja javnih površina, objekata i groblja.</w:t>
      </w:r>
    </w:p>
    <w:p w14:paraId="26524A67" w14:textId="0AF94710" w:rsidR="00DD4EB7" w:rsidRPr="00E44551" w:rsidRDefault="00DD4EB7" w:rsidP="00DD4EB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Osiguranje sredstava za rješavanje hitnih slučajeva, elementarnih nepogoda i drugih neplaniranih potreba.</w:t>
      </w:r>
    </w:p>
    <w:p w14:paraId="3DFD19E0" w14:textId="77777777" w:rsidR="00DD4EB7" w:rsidRPr="00E44551" w:rsidRDefault="00DD4EB7" w:rsidP="00DD4EB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riješeni hitni slučajevi i neplanirane potrebe građana.</w:t>
      </w:r>
    </w:p>
    <w:p w14:paraId="25275318" w14:textId="42644E1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ovog razdjela iznose </w:t>
      </w:r>
      <w:r w:rsidR="00234A9A" w:rsidRPr="00E44551">
        <w:rPr>
          <w:rFonts w:ascii="Arial" w:eastAsia="Calibri" w:hAnsi="Arial" w:cs="Arial"/>
          <w:sz w:val="22"/>
          <w:szCs w:val="22"/>
          <w:lang w:val="hr-HR"/>
        </w:rPr>
        <w:t>1.391.440,00</w:t>
      </w:r>
      <w:r w:rsidR="007A118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118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sve planirane aktivnosti.</w:t>
      </w:r>
    </w:p>
    <w:p w14:paraId="6709DEB5" w14:textId="77777777" w:rsidR="00AF582A" w:rsidRDefault="00AF582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CF61158" w14:textId="77777777" w:rsidR="00AF582A" w:rsidRDefault="00AF582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EDBFAE6" w14:textId="2DFA5668" w:rsidR="004C05C7" w:rsidRPr="00E44551" w:rsidRDefault="00AF582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Aktivnosti koje provodi ovaj razdjel</w:t>
      </w:r>
      <w:r w:rsidR="003D591A" w:rsidRPr="00E44551">
        <w:rPr>
          <w:rFonts w:ascii="Arial" w:eastAsia="Calibri" w:hAnsi="Arial" w:cs="Arial"/>
          <w:sz w:val="22"/>
          <w:szCs w:val="22"/>
          <w:lang w:val="hr-HR"/>
        </w:rPr>
        <w:t xml:space="preserve"> dijelimo na Održavanje komunalne infrastrukture </w:t>
      </w:r>
      <w:r w:rsidR="00234A9A" w:rsidRPr="00E44551">
        <w:rPr>
          <w:rFonts w:ascii="Arial" w:eastAsia="Calibri" w:hAnsi="Arial" w:cs="Arial"/>
          <w:sz w:val="22"/>
          <w:szCs w:val="22"/>
          <w:lang w:val="hr-HR"/>
        </w:rPr>
        <w:t>i</w:t>
      </w:r>
      <w:r w:rsidR="003D591A" w:rsidRPr="00E44551">
        <w:rPr>
          <w:rFonts w:ascii="Arial" w:eastAsia="Calibri" w:hAnsi="Arial" w:cs="Arial"/>
          <w:sz w:val="22"/>
          <w:szCs w:val="22"/>
          <w:lang w:val="hr-HR"/>
        </w:rPr>
        <w:t xml:space="preserve"> na upravljanje imovinom</w:t>
      </w:r>
      <w:r w:rsidR="00234A9A" w:rsidRPr="00E44551">
        <w:rPr>
          <w:rFonts w:ascii="Arial" w:eastAsia="Calibri" w:hAnsi="Arial" w:cs="Arial"/>
          <w:sz w:val="22"/>
          <w:szCs w:val="22"/>
          <w:lang w:val="hr-HR"/>
        </w:rPr>
        <w:t>, a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iznosi za njihove provedbe su: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75"/>
        <w:gridCol w:w="3097"/>
      </w:tblGrid>
      <w:tr w:rsidR="004C05C7" w:rsidRPr="00E44551" w14:paraId="1DD1D062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F732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 xml:space="preserve">Aktivnost: Rashodi redovnog poslovanja komunalnog pogona 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BE3E0" w14:textId="0C1B6308" w:rsidR="004C05C7" w:rsidRPr="00E44551" w:rsidRDefault="007A118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430.500,00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5F2AD6E1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9AED3" w14:textId="366F63B0" w:rsidR="00234A9A" w:rsidRPr="00E44551" w:rsidRDefault="00234A9A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uključuju rashode za zaposlene i materijalne rashode za potrebe funkcioniranja vlastitog pogona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4CBCA" w14:textId="77777777" w:rsidR="00234A9A" w:rsidRPr="00E44551" w:rsidRDefault="00234A9A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4C05C7" w:rsidRPr="00E44551" w14:paraId="5A640E6A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086F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komunalnih i osobnih vozila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45315" w14:textId="50F7C273" w:rsidR="004C05C7" w:rsidRPr="00E44551" w:rsidRDefault="00234A9A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113.100,00</w:t>
            </w:r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25427467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EFD3" w14:textId="6A501760" w:rsidR="00234110" w:rsidRPr="00E44551" w:rsidRDefault="00234110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uključuju izdatke za gorivo, registraciju, premije osiguranja vozila,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kupnju rezervnih dijelova, troškove redovnih servisa te potrebne popravke vozila.</w:t>
            </w:r>
          </w:p>
        </w:tc>
      </w:tr>
      <w:tr w:rsidR="004C05C7" w:rsidRPr="00E44551" w14:paraId="0A672ADC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E4C7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javnih površina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9232" w14:textId="15DC754D" w:rsidR="004C05C7" w:rsidRPr="00E44551" w:rsidRDefault="007A118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765.000,00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4EDDFA7B" w14:textId="77777777" w:rsidTr="00234A9A">
        <w:trPr>
          <w:trHeight w:val="122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7B588" w14:textId="3F051588" w:rsidR="00234110" w:rsidRPr="00E44551" w:rsidRDefault="00234110" w:rsidP="002341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zelenih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strane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vlastitog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pogona 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uključuje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košnju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orezivanje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sakupljanje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biološkog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otpada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s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zelenih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="00234A9A" w:rsidRPr="00E44551">
              <w:rPr>
                <w:rFonts w:ascii="Arial" w:hAnsi="Arial" w:cs="Arial"/>
                <w:sz w:val="22"/>
                <w:szCs w:val="22"/>
              </w:rPr>
              <w:t>,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obnova</w:t>
            </w:r>
            <w:proofErr w:type="spellEnd"/>
            <w:r w:rsidR="00234A9A" w:rsidRPr="00E44551">
              <w:rPr>
                <w:rFonts w:ascii="Arial" w:hAnsi="Arial" w:cs="Arial"/>
                <w:sz w:val="22"/>
                <w:szCs w:val="22"/>
              </w:rPr>
              <w:t>,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njega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drveća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ukrasnog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grmlja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popločenih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nasipanih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fitosanitarna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zaštita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nabava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biljnog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materijala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potrebe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drug</w:t>
            </w:r>
            <w:r w:rsidR="00234A9A" w:rsidRPr="00E44551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poslovi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potrebn</w:t>
            </w:r>
            <w:r w:rsidR="00234A9A" w:rsidRPr="00E44551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0E18E7" w14:textId="77777777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4C05C7" w:rsidRPr="00E44551" w14:paraId="262F5863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3F138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Organizacija, naplata i održavanje parkirališta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CD21" w14:textId="487D7D37" w:rsidR="004C05C7" w:rsidRPr="00E44551" w:rsidRDefault="00AF582A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62.000,00</w:t>
            </w:r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2F216222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F8BD" w14:textId="625D97F7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se odnose na plaćanje programskog paketa za naplatu parkirališta, usluge student servisa za kontrolu naplate te nabavu potrebnog repromaterijala.</w:t>
            </w:r>
          </w:p>
        </w:tc>
      </w:tr>
      <w:tr w:rsidR="004C05C7" w:rsidRPr="00E44551" w14:paraId="0A68F8AB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88F0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zgrada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810CB" w14:textId="0986B227" w:rsidR="004C05C7" w:rsidRPr="00E44551" w:rsidRDefault="004C05C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93502D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6.000,00</w:t>
            </w:r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639BA614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A4C2" w14:textId="6A3A1D6C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Odnosi se na nabavu sitnog potrošnog materijala za popravke unutar zgrade,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koje vrše djelatnici komunalnog pogona</w:t>
            </w:r>
          </w:p>
        </w:tc>
      </w:tr>
      <w:tr w:rsidR="004C05C7" w:rsidRPr="00E44551" w14:paraId="1BE16798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6A95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groblja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D000" w14:textId="4748631B" w:rsidR="004C05C7" w:rsidRPr="00E44551" w:rsidRDefault="004C05C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74E9B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14.640,00</w:t>
            </w:r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</w:p>
        </w:tc>
      </w:tr>
      <w:tr w:rsidR="00234110" w:rsidRPr="00E44551" w14:paraId="33CA7BAF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D6B4F" w14:textId="3D8D7EBA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Nabava materijala za potrebe ukopa na groblju „Ban“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te održavanje računalnih programa.</w:t>
            </w:r>
          </w:p>
        </w:tc>
      </w:tr>
    </w:tbl>
    <w:p w14:paraId="777DE8F6" w14:textId="77777777" w:rsidR="00893546" w:rsidRPr="00E44551" w:rsidRDefault="00893546" w:rsidP="003753C4">
      <w:pPr>
        <w:spacing w:after="120"/>
        <w:ind w:right="13"/>
        <w:jc w:val="both"/>
        <w:rPr>
          <w:rFonts w:ascii="Arial" w:hAnsi="Arial" w:cs="Arial"/>
          <w:bCs/>
          <w:iCs/>
          <w:sz w:val="22"/>
          <w:szCs w:val="22"/>
          <w:lang w:val="hr-HR"/>
        </w:rPr>
        <w:sectPr w:rsidR="00893546" w:rsidRPr="00E44551" w:rsidSect="0085530D">
          <w:footerReference w:type="default" r:id="rId8"/>
          <w:pgSz w:w="16840" w:h="11907" w:orient="landscape" w:code="9"/>
          <w:pgMar w:top="567" w:right="1134" w:bottom="425" w:left="1134" w:header="708" w:footer="708" w:gutter="0"/>
          <w:cols w:space="708"/>
          <w:docGrid w:linePitch="360"/>
        </w:sectPr>
      </w:pPr>
    </w:p>
    <w:p w14:paraId="69124A9E" w14:textId="71405FC7" w:rsidR="00893546" w:rsidRDefault="00893546" w:rsidP="00893546">
      <w:pPr>
        <w:jc w:val="center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lastRenderedPageBreak/>
        <w:t xml:space="preserve">Članak 5. </w:t>
      </w:r>
    </w:p>
    <w:p w14:paraId="4DA74024" w14:textId="77777777" w:rsidR="00893546" w:rsidRDefault="00893546" w:rsidP="00893546">
      <w:pPr>
        <w:jc w:val="center"/>
        <w:rPr>
          <w:b/>
          <w:bCs/>
          <w:iCs/>
          <w:lang w:val="hr-HR"/>
        </w:rPr>
      </w:pPr>
    </w:p>
    <w:p w14:paraId="7DC56CD5" w14:textId="26AB66F8" w:rsidR="00893546" w:rsidRPr="00B61CA3" w:rsidRDefault="00893546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>Ovaj Proračun stupa na snagu osmog dana od dana objave u "Službenom glasniku općine Podstrana", a primjenjuje se od 01.01.202</w:t>
      </w:r>
      <w:r w:rsidR="00E44551">
        <w:rPr>
          <w:rFonts w:ascii="Arial" w:hAnsi="Arial" w:cs="Arial"/>
          <w:bCs/>
          <w:iCs/>
          <w:sz w:val="22"/>
          <w:szCs w:val="22"/>
          <w:lang w:val="hr-HR"/>
        </w:rPr>
        <w:t>4</w:t>
      </w: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>. godine.</w:t>
      </w:r>
    </w:p>
    <w:p w14:paraId="19ED14A1" w14:textId="364D4832" w:rsidR="00893546" w:rsidRDefault="00893546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4DD76D7F" w14:textId="5C9077F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2D579FAB" w14:textId="1595218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15346A60" w14:textId="16E1A40B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695EF231" w14:textId="7A7E247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544A64FD" w14:textId="451123BD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3D94DDBB" w14:textId="130B2122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2D02D2CB" w14:textId="77777777" w:rsidR="00C5791D" w:rsidRPr="00B61CA3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5004E18A" w14:textId="241219B4" w:rsidR="00C5791D" w:rsidRPr="00C5791D" w:rsidRDefault="001D7085" w:rsidP="00C5791D">
      <w:pPr>
        <w:spacing w:after="120"/>
        <w:ind w:right="13"/>
        <w:jc w:val="both"/>
        <w:rPr>
          <w:rFonts w:ascii="Arial" w:eastAsia="Calibri" w:hAnsi="Arial" w:cs="Arial"/>
          <w:iCs/>
          <w:noProof/>
          <w:sz w:val="22"/>
          <w:szCs w:val="22"/>
          <w:lang w:val="hr-HR"/>
        </w:rPr>
      </w:pPr>
      <w:r w:rsidRP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>KLASA: 024-02/23-01/13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   </w:t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Predsjednik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</w:p>
    <w:p w14:paraId="664D4B44" w14:textId="5753169E" w:rsidR="00C5791D" w:rsidRPr="00C5791D" w:rsidRDefault="001D7085" w:rsidP="00C5791D">
      <w:pPr>
        <w:spacing w:after="120"/>
        <w:ind w:right="13"/>
        <w:jc w:val="both"/>
        <w:rPr>
          <w:rFonts w:ascii="Arial" w:eastAsia="Calibri" w:hAnsi="Arial" w:cs="Arial"/>
          <w:iCs/>
          <w:noProof/>
          <w:sz w:val="22"/>
          <w:szCs w:val="22"/>
          <w:lang w:val="hr-HR"/>
        </w:rPr>
      </w:pPr>
      <w:r w:rsidRP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>URBROJ: 2181-39-01-23-2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</w:t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>Općinskog vijeća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</w:p>
    <w:p w14:paraId="0FF0EB40" w14:textId="12A8A556" w:rsidR="006F4F2D" w:rsidRPr="00E42377" w:rsidRDefault="00C5791D" w:rsidP="00C5791D">
      <w:pPr>
        <w:spacing w:after="120"/>
        <w:ind w:right="13"/>
        <w:jc w:val="both"/>
        <w:rPr>
          <w:bCs/>
          <w:iCs/>
          <w:lang w:val="hr-HR"/>
        </w:rPr>
      </w:pP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Podstrana, </w:t>
      </w:r>
      <w:r w:rsidR="00672366">
        <w:rPr>
          <w:rFonts w:ascii="Arial" w:eastAsia="Calibri" w:hAnsi="Arial" w:cs="Arial"/>
          <w:iCs/>
          <w:noProof/>
          <w:sz w:val="22"/>
          <w:szCs w:val="22"/>
          <w:lang w:val="hr-HR"/>
        </w:rPr>
        <w:t>11. prosinca</w:t>
      </w:r>
      <w:r w:rsid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2023. godine 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</w:t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E44551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                     Zdravko Galić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893546" w:rsidRPr="00B61CA3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</w:p>
    <w:sectPr w:rsidR="006F4F2D" w:rsidRPr="00E42377" w:rsidSect="0085530D">
      <w:pgSz w:w="16840" w:h="11907" w:orient="landscape" w:code="9"/>
      <w:pgMar w:top="56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582F" w14:textId="77777777" w:rsidR="001F504B" w:rsidRDefault="001F504B" w:rsidP="001A79AB">
      <w:r>
        <w:separator/>
      </w:r>
    </w:p>
  </w:endnote>
  <w:endnote w:type="continuationSeparator" w:id="0">
    <w:p w14:paraId="06171D50" w14:textId="77777777" w:rsidR="001F504B" w:rsidRDefault="001F504B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66C6" w14:textId="02935684" w:rsidR="001F504B" w:rsidRPr="00B974D8" w:rsidRDefault="001F504B" w:rsidP="00B974D8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16408F" w:rsidRPr="0016408F">
      <w:rPr>
        <w:noProof/>
        <w:lang w:val="hr-HR"/>
      </w:rPr>
      <w:t>44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CF28" w14:textId="77777777" w:rsidR="001F504B" w:rsidRDefault="001F504B" w:rsidP="001A79AB">
      <w:r>
        <w:separator/>
      </w:r>
    </w:p>
  </w:footnote>
  <w:footnote w:type="continuationSeparator" w:id="0">
    <w:p w14:paraId="53A89A1E" w14:textId="77777777" w:rsidR="001F504B" w:rsidRDefault="001F504B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720A"/>
    <w:multiLevelType w:val="hybridMultilevel"/>
    <w:tmpl w:val="6326360E"/>
    <w:lvl w:ilvl="0" w:tplc="260296F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0" w:hanging="360"/>
      </w:pPr>
    </w:lvl>
    <w:lvl w:ilvl="2" w:tplc="041A001B" w:tentative="1">
      <w:start w:val="1"/>
      <w:numFmt w:val="lowerRoman"/>
      <w:lvlText w:val="%3."/>
      <w:lvlJc w:val="right"/>
      <w:pPr>
        <w:ind w:left="1790" w:hanging="180"/>
      </w:pPr>
    </w:lvl>
    <w:lvl w:ilvl="3" w:tplc="041A000F" w:tentative="1">
      <w:start w:val="1"/>
      <w:numFmt w:val="decimal"/>
      <w:lvlText w:val="%4."/>
      <w:lvlJc w:val="left"/>
      <w:pPr>
        <w:ind w:left="2510" w:hanging="360"/>
      </w:pPr>
    </w:lvl>
    <w:lvl w:ilvl="4" w:tplc="041A0019" w:tentative="1">
      <w:start w:val="1"/>
      <w:numFmt w:val="lowerLetter"/>
      <w:lvlText w:val="%5."/>
      <w:lvlJc w:val="left"/>
      <w:pPr>
        <w:ind w:left="3230" w:hanging="360"/>
      </w:pPr>
    </w:lvl>
    <w:lvl w:ilvl="5" w:tplc="041A001B" w:tentative="1">
      <w:start w:val="1"/>
      <w:numFmt w:val="lowerRoman"/>
      <w:lvlText w:val="%6."/>
      <w:lvlJc w:val="right"/>
      <w:pPr>
        <w:ind w:left="3950" w:hanging="180"/>
      </w:pPr>
    </w:lvl>
    <w:lvl w:ilvl="6" w:tplc="041A000F" w:tentative="1">
      <w:start w:val="1"/>
      <w:numFmt w:val="decimal"/>
      <w:lvlText w:val="%7."/>
      <w:lvlJc w:val="left"/>
      <w:pPr>
        <w:ind w:left="4670" w:hanging="360"/>
      </w:pPr>
    </w:lvl>
    <w:lvl w:ilvl="7" w:tplc="041A0019" w:tentative="1">
      <w:start w:val="1"/>
      <w:numFmt w:val="lowerLetter"/>
      <w:lvlText w:val="%8."/>
      <w:lvlJc w:val="left"/>
      <w:pPr>
        <w:ind w:left="5390" w:hanging="360"/>
      </w:pPr>
    </w:lvl>
    <w:lvl w:ilvl="8" w:tplc="041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22596999"/>
    <w:multiLevelType w:val="hybridMultilevel"/>
    <w:tmpl w:val="E610836A"/>
    <w:lvl w:ilvl="0" w:tplc="5A04BE4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75B27"/>
    <w:multiLevelType w:val="hybridMultilevel"/>
    <w:tmpl w:val="09BCE4EA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754A5"/>
    <w:multiLevelType w:val="hybridMultilevel"/>
    <w:tmpl w:val="2E9802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E7175"/>
    <w:multiLevelType w:val="hybridMultilevel"/>
    <w:tmpl w:val="428A29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01EA6"/>
    <w:multiLevelType w:val="hybridMultilevel"/>
    <w:tmpl w:val="FB1E3288"/>
    <w:lvl w:ilvl="0" w:tplc="EA8CA4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BE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418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A4F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0FE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C63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889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CA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C78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E6EAA"/>
    <w:multiLevelType w:val="hybridMultilevel"/>
    <w:tmpl w:val="54E087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E4AE5"/>
    <w:multiLevelType w:val="hybridMultilevel"/>
    <w:tmpl w:val="F37C6E44"/>
    <w:lvl w:ilvl="0" w:tplc="94F048B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26F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47D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E8C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8F97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AFAF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E519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E25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A4A0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5F33C2"/>
    <w:multiLevelType w:val="hybridMultilevel"/>
    <w:tmpl w:val="CBD69018"/>
    <w:lvl w:ilvl="0" w:tplc="29701C7A">
      <w:start w:val="2"/>
      <w:numFmt w:val="bullet"/>
      <w:lvlText w:val="-"/>
      <w:lvlJc w:val="left"/>
      <w:pPr>
        <w:ind w:left="109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75656">
    <w:abstractNumId w:val="5"/>
  </w:num>
  <w:num w:numId="2" w16cid:durableId="1857891115">
    <w:abstractNumId w:val="16"/>
  </w:num>
  <w:num w:numId="3" w16cid:durableId="538251280">
    <w:abstractNumId w:val="4"/>
  </w:num>
  <w:num w:numId="4" w16cid:durableId="821697948">
    <w:abstractNumId w:val="10"/>
  </w:num>
  <w:num w:numId="5" w16cid:durableId="135878673">
    <w:abstractNumId w:val="6"/>
  </w:num>
  <w:num w:numId="6" w16cid:durableId="977144902">
    <w:abstractNumId w:val="15"/>
  </w:num>
  <w:num w:numId="7" w16cid:durableId="1930693157">
    <w:abstractNumId w:val="18"/>
  </w:num>
  <w:num w:numId="8" w16cid:durableId="1086194304">
    <w:abstractNumId w:val="0"/>
  </w:num>
  <w:num w:numId="9" w16cid:durableId="734855506">
    <w:abstractNumId w:val="13"/>
  </w:num>
  <w:num w:numId="10" w16cid:durableId="788623728">
    <w:abstractNumId w:val="17"/>
  </w:num>
  <w:num w:numId="11" w16cid:durableId="306205944">
    <w:abstractNumId w:val="12"/>
  </w:num>
  <w:num w:numId="12" w16cid:durableId="85080584">
    <w:abstractNumId w:val="9"/>
  </w:num>
  <w:num w:numId="13" w16cid:durableId="360711741">
    <w:abstractNumId w:val="2"/>
  </w:num>
  <w:num w:numId="14" w16cid:durableId="845824150">
    <w:abstractNumId w:val="8"/>
  </w:num>
  <w:num w:numId="15" w16cid:durableId="826745263">
    <w:abstractNumId w:val="3"/>
  </w:num>
  <w:num w:numId="16" w16cid:durableId="287322998">
    <w:abstractNumId w:val="11"/>
  </w:num>
  <w:num w:numId="17" w16cid:durableId="285696229">
    <w:abstractNumId w:val="1"/>
  </w:num>
  <w:num w:numId="18" w16cid:durableId="1309819290">
    <w:abstractNumId w:val="7"/>
  </w:num>
  <w:num w:numId="19" w16cid:durableId="2247991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5837"/>
    <w:rsid w:val="000072DC"/>
    <w:rsid w:val="00007BB8"/>
    <w:rsid w:val="00012594"/>
    <w:rsid w:val="00013361"/>
    <w:rsid w:val="00017D64"/>
    <w:rsid w:val="00023C13"/>
    <w:rsid w:val="00026EE0"/>
    <w:rsid w:val="0003711B"/>
    <w:rsid w:val="00043ED9"/>
    <w:rsid w:val="00045581"/>
    <w:rsid w:val="00047642"/>
    <w:rsid w:val="00047C64"/>
    <w:rsid w:val="00050BC6"/>
    <w:rsid w:val="000533CD"/>
    <w:rsid w:val="00055B7B"/>
    <w:rsid w:val="00062D02"/>
    <w:rsid w:val="00070C0F"/>
    <w:rsid w:val="00073C8D"/>
    <w:rsid w:val="000746C2"/>
    <w:rsid w:val="0007626B"/>
    <w:rsid w:val="0008054C"/>
    <w:rsid w:val="000805C7"/>
    <w:rsid w:val="0008189E"/>
    <w:rsid w:val="00083419"/>
    <w:rsid w:val="000836DB"/>
    <w:rsid w:val="00087EED"/>
    <w:rsid w:val="00090390"/>
    <w:rsid w:val="000914E5"/>
    <w:rsid w:val="000A0187"/>
    <w:rsid w:val="000A1FB2"/>
    <w:rsid w:val="000B1EEF"/>
    <w:rsid w:val="000B6D0C"/>
    <w:rsid w:val="000B7A06"/>
    <w:rsid w:val="000B7F20"/>
    <w:rsid w:val="000C092F"/>
    <w:rsid w:val="000C67F2"/>
    <w:rsid w:val="000D3020"/>
    <w:rsid w:val="000E442E"/>
    <w:rsid w:val="000F2FD4"/>
    <w:rsid w:val="000F38ED"/>
    <w:rsid w:val="000F6498"/>
    <w:rsid w:val="00101E3E"/>
    <w:rsid w:val="00102754"/>
    <w:rsid w:val="001033E2"/>
    <w:rsid w:val="00115635"/>
    <w:rsid w:val="00120C50"/>
    <w:rsid w:val="0012605B"/>
    <w:rsid w:val="001332A9"/>
    <w:rsid w:val="00140C10"/>
    <w:rsid w:val="00141341"/>
    <w:rsid w:val="00142A48"/>
    <w:rsid w:val="00144A2F"/>
    <w:rsid w:val="001617EB"/>
    <w:rsid w:val="0016408F"/>
    <w:rsid w:val="00164431"/>
    <w:rsid w:val="0016614C"/>
    <w:rsid w:val="00166468"/>
    <w:rsid w:val="00166629"/>
    <w:rsid w:val="00166D31"/>
    <w:rsid w:val="001703B8"/>
    <w:rsid w:val="00171B9B"/>
    <w:rsid w:val="001724AD"/>
    <w:rsid w:val="00183D95"/>
    <w:rsid w:val="001857A6"/>
    <w:rsid w:val="001872F8"/>
    <w:rsid w:val="00191012"/>
    <w:rsid w:val="001A0FF8"/>
    <w:rsid w:val="001A79AB"/>
    <w:rsid w:val="001B1D56"/>
    <w:rsid w:val="001B3C5A"/>
    <w:rsid w:val="001B4E6E"/>
    <w:rsid w:val="001B7675"/>
    <w:rsid w:val="001C7387"/>
    <w:rsid w:val="001C794A"/>
    <w:rsid w:val="001D01AC"/>
    <w:rsid w:val="001D25E9"/>
    <w:rsid w:val="001D50BE"/>
    <w:rsid w:val="001D647F"/>
    <w:rsid w:val="001D7085"/>
    <w:rsid w:val="001E1362"/>
    <w:rsid w:val="001F504B"/>
    <w:rsid w:val="0020721E"/>
    <w:rsid w:val="00210912"/>
    <w:rsid w:val="0022076F"/>
    <w:rsid w:val="00221D93"/>
    <w:rsid w:val="00223AF5"/>
    <w:rsid w:val="00224541"/>
    <w:rsid w:val="0022508B"/>
    <w:rsid w:val="0022682C"/>
    <w:rsid w:val="00234110"/>
    <w:rsid w:val="00234A9A"/>
    <w:rsid w:val="00240DA8"/>
    <w:rsid w:val="0024118D"/>
    <w:rsid w:val="00245140"/>
    <w:rsid w:val="002516BE"/>
    <w:rsid w:val="00256EBA"/>
    <w:rsid w:val="0026040F"/>
    <w:rsid w:val="00262EA4"/>
    <w:rsid w:val="002633FD"/>
    <w:rsid w:val="00273799"/>
    <w:rsid w:val="00274E9B"/>
    <w:rsid w:val="00282400"/>
    <w:rsid w:val="0028650D"/>
    <w:rsid w:val="00293729"/>
    <w:rsid w:val="002939AC"/>
    <w:rsid w:val="002A07CF"/>
    <w:rsid w:val="002A38B5"/>
    <w:rsid w:val="002B134C"/>
    <w:rsid w:val="002B4DA5"/>
    <w:rsid w:val="002B615D"/>
    <w:rsid w:val="002B7941"/>
    <w:rsid w:val="002B7A53"/>
    <w:rsid w:val="002C400B"/>
    <w:rsid w:val="002C6159"/>
    <w:rsid w:val="002D31C7"/>
    <w:rsid w:val="002D6FA5"/>
    <w:rsid w:val="002D76ED"/>
    <w:rsid w:val="002E081E"/>
    <w:rsid w:val="002E5CC4"/>
    <w:rsid w:val="002E629C"/>
    <w:rsid w:val="002E6CFC"/>
    <w:rsid w:val="00302A17"/>
    <w:rsid w:val="00302D6E"/>
    <w:rsid w:val="00305B7A"/>
    <w:rsid w:val="00307931"/>
    <w:rsid w:val="0031376A"/>
    <w:rsid w:val="00314734"/>
    <w:rsid w:val="0031742C"/>
    <w:rsid w:val="0032143D"/>
    <w:rsid w:val="003223FE"/>
    <w:rsid w:val="00323F6A"/>
    <w:rsid w:val="003264A4"/>
    <w:rsid w:val="00327B60"/>
    <w:rsid w:val="0033317B"/>
    <w:rsid w:val="003414D0"/>
    <w:rsid w:val="00347186"/>
    <w:rsid w:val="00347536"/>
    <w:rsid w:val="003478DC"/>
    <w:rsid w:val="00347A96"/>
    <w:rsid w:val="00350BE4"/>
    <w:rsid w:val="003526D0"/>
    <w:rsid w:val="00356E68"/>
    <w:rsid w:val="00356FE2"/>
    <w:rsid w:val="00360ADF"/>
    <w:rsid w:val="00360F15"/>
    <w:rsid w:val="00361AF1"/>
    <w:rsid w:val="00361D64"/>
    <w:rsid w:val="00362AC6"/>
    <w:rsid w:val="0036494E"/>
    <w:rsid w:val="00370A40"/>
    <w:rsid w:val="003753C4"/>
    <w:rsid w:val="00381E39"/>
    <w:rsid w:val="00381EE1"/>
    <w:rsid w:val="00382076"/>
    <w:rsid w:val="00382BC2"/>
    <w:rsid w:val="0039179A"/>
    <w:rsid w:val="00396083"/>
    <w:rsid w:val="00397EB4"/>
    <w:rsid w:val="003A147C"/>
    <w:rsid w:val="003A4113"/>
    <w:rsid w:val="003A666F"/>
    <w:rsid w:val="003B100C"/>
    <w:rsid w:val="003B1478"/>
    <w:rsid w:val="003B1D6D"/>
    <w:rsid w:val="003B44C0"/>
    <w:rsid w:val="003B5860"/>
    <w:rsid w:val="003C12FD"/>
    <w:rsid w:val="003C2586"/>
    <w:rsid w:val="003C5F9C"/>
    <w:rsid w:val="003C638A"/>
    <w:rsid w:val="003D0680"/>
    <w:rsid w:val="003D34E1"/>
    <w:rsid w:val="003D380E"/>
    <w:rsid w:val="003D591A"/>
    <w:rsid w:val="003E26EC"/>
    <w:rsid w:val="003E4046"/>
    <w:rsid w:val="003E5035"/>
    <w:rsid w:val="003E70CA"/>
    <w:rsid w:val="003E738F"/>
    <w:rsid w:val="003F1FD2"/>
    <w:rsid w:val="003F5F32"/>
    <w:rsid w:val="00401134"/>
    <w:rsid w:val="004012F1"/>
    <w:rsid w:val="0040274A"/>
    <w:rsid w:val="00403BF6"/>
    <w:rsid w:val="0041650E"/>
    <w:rsid w:val="004262CA"/>
    <w:rsid w:val="00426634"/>
    <w:rsid w:val="004322E8"/>
    <w:rsid w:val="00433867"/>
    <w:rsid w:val="00440B5B"/>
    <w:rsid w:val="00442E5B"/>
    <w:rsid w:val="00443D6F"/>
    <w:rsid w:val="00444ADD"/>
    <w:rsid w:val="00446963"/>
    <w:rsid w:val="0044739C"/>
    <w:rsid w:val="00447DEC"/>
    <w:rsid w:val="00451425"/>
    <w:rsid w:val="00451462"/>
    <w:rsid w:val="004546D5"/>
    <w:rsid w:val="0045746C"/>
    <w:rsid w:val="00465CE9"/>
    <w:rsid w:val="00484276"/>
    <w:rsid w:val="00486EDB"/>
    <w:rsid w:val="004913EA"/>
    <w:rsid w:val="00493FC9"/>
    <w:rsid w:val="00494872"/>
    <w:rsid w:val="00495B85"/>
    <w:rsid w:val="0049664F"/>
    <w:rsid w:val="004A0129"/>
    <w:rsid w:val="004A03A2"/>
    <w:rsid w:val="004A2572"/>
    <w:rsid w:val="004B5F23"/>
    <w:rsid w:val="004B7C8C"/>
    <w:rsid w:val="004C04BB"/>
    <w:rsid w:val="004C05C7"/>
    <w:rsid w:val="004C0850"/>
    <w:rsid w:val="004C4731"/>
    <w:rsid w:val="004C6674"/>
    <w:rsid w:val="004C7B71"/>
    <w:rsid w:val="004C7BD7"/>
    <w:rsid w:val="004E0ED1"/>
    <w:rsid w:val="004F3682"/>
    <w:rsid w:val="005046BA"/>
    <w:rsid w:val="005055A7"/>
    <w:rsid w:val="0051275F"/>
    <w:rsid w:val="005145AA"/>
    <w:rsid w:val="00520673"/>
    <w:rsid w:val="00521534"/>
    <w:rsid w:val="00523EBB"/>
    <w:rsid w:val="0052580A"/>
    <w:rsid w:val="00526EB6"/>
    <w:rsid w:val="005328A6"/>
    <w:rsid w:val="00535138"/>
    <w:rsid w:val="00535155"/>
    <w:rsid w:val="005363B0"/>
    <w:rsid w:val="00540E68"/>
    <w:rsid w:val="0054254F"/>
    <w:rsid w:val="00543B1F"/>
    <w:rsid w:val="00551E0D"/>
    <w:rsid w:val="005551C4"/>
    <w:rsid w:val="005552A4"/>
    <w:rsid w:val="005628F2"/>
    <w:rsid w:val="00562D32"/>
    <w:rsid w:val="005633FE"/>
    <w:rsid w:val="00565BE2"/>
    <w:rsid w:val="005667EB"/>
    <w:rsid w:val="00577E77"/>
    <w:rsid w:val="00585D14"/>
    <w:rsid w:val="005870CD"/>
    <w:rsid w:val="00590164"/>
    <w:rsid w:val="00590821"/>
    <w:rsid w:val="005A25AB"/>
    <w:rsid w:val="005A3F57"/>
    <w:rsid w:val="005A451C"/>
    <w:rsid w:val="005A481D"/>
    <w:rsid w:val="005B0F38"/>
    <w:rsid w:val="005B12B6"/>
    <w:rsid w:val="005B25F0"/>
    <w:rsid w:val="005B2880"/>
    <w:rsid w:val="005B4727"/>
    <w:rsid w:val="005B4EFB"/>
    <w:rsid w:val="005B5037"/>
    <w:rsid w:val="005C0D23"/>
    <w:rsid w:val="005C1DB8"/>
    <w:rsid w:val="005C2ACC"/>
    <w:rsid w:val="005C648D"/>
    <w:rsid w:val="005D1260"/>
    <w:rsid w:val="005D2F68"/>
    <w:rsid w:val="005D66A4"/>
    <w:rsid w:val="005E6521"/>
    <w:rsid w:val="005E7065"/>
    <w:rsid w:val="005E7CCC"/>
    <w:rsid w:val="005F0EE4"/>
    <w:rsid w:val="0060574C"/>
    <w:rsid w:val="00606147"/>
    <w:rsid w:val="00606E27"/>
    <w:rsid w:val="006120A4"/>
    <w:rsid w:val="00614060"/>
    <w:rsid w:val="00616A16"/>
    <w:rsid w:val="0061774F"/>
    <w:rsid w:val="0062454C"/>
    <w:rsid w:val="00633EA1"/>
    <w:rsid w:val="006343CD"/>
    <w:rsid w:val="006362BC"/>
    <w:rsid w:val="0064568B"/>
    <w:rsid w:val="0065357F"/>
    <w:rsid w:val="0065370D"/>
    <w:rsid w:val="00655556"/>
    <w:rsid w:val="00656890"/>
    <w:rsid w:val="0065703C"/>
    <w:rsid w:val="006574F2"/>
    <w:rsid w:val="00661792"/>
    <w:rsid w:val="00663D37"/>
    <w:rsid w:val="0066435B"/>
    <w:rsid w:val="00670CD9"/>
    <w:rsid w:val="00672366"/>
    <w:rsid w:val="006752FB"/>
    <w:rsid w:val="00677722"/>
    <w:rsid w:val="0068325F"/>
    <w:rsid w:val="00683329"/>
    <w:rsid w:val="006860D9"/>
    <w:rsid w:val="00691D39"/>
    <w:rsid w:val="00692FC1"/>
    <w:rsid w:val="006938B7"/>
    <w:rsid w:val="00694D78"/>
    <w:rsid w:val="006B61C4"/>
    <w:rsid w:val="006B6BBB"/>
    <w:rsid w:val="006C0B03"/>
    <w:rsid w:val="006C0E7F"/>
    <w:rsid w:val="006C1ED9"/>
    <w:rsid w:val="006D0974"/>
    <w:rsid w:val="006D284D"/>
    <w:rsid w:val="006D6113"/>
    <w:rsid w:val="006D63E3"/>
    <w:rsid w:val="006E03CD"/>
    <w:rsid w:val="006E0729"/>
    <w:rsid w:val="006E24D5"/>
    <w:rsid w:val="006E30B0"/>
    <w:rsid w:val="006F408D"/>
    <w:rsid w:val="006F4184"/>
    <w:rsid w:val="006F4F2D"/>
    <w:rsid w:val="006F6648"/>
    <w:rsid w:val="006F6DFB"/>
    <w:rsid w:val="00704458"/>
    <w:rsid w:val="00705A0B"/>
    <w:rsid w:val="00715FC0"/>
    <w:rsid w:val="00720D98"/>
    <w:rsid w:val="00725C39"/>
    <w:rsid w:val="0072623D"/>
    <w:rsid w:val="0073154B"/>
    <w:rsid w:val="00735FB0"/>
    <w:rsid w:val="007364DF"/>
    <w:rsid w:val="0074669C"/>
    <w:rsid w:val="00747B35"/>
    <w:rsid w:val="007542C3"/>
    <w:rsid w:val="007543B9"/>
    <w:rsid w:val="007545BA"/>
    <w:rsid w:val="00755462"/>
    <w:rsid w:val="00756376"/>
    <w:rsid w:val="00757F7B"/>
    <w:rsid w:val="00760794"/>
    <w:rsid w:val="00760B3C"/>
    <w:rsid w:val="00760DEB"/>
    <w:rsid w:val="007622D4"/>
    <w:rsid w:val="0076362A"/>
    <w:rsid w:val="00771A72"/>
    <w:rsid w:val="00785F8B"/>
    <w:rsid w:val="00787DD7"/>
    <w:rsid w:val="00791106"/>
    <w:rsid w:val="00791237"/>
    <w:rsid w:val="00791F91"/>
    <w:rsid w:val="00792C1D"/>
    <w:rsid w:val="0079379F"/>
    <w:rsid w:val="00795009"/>
    <w:rsid w:val="00797D36"/>
    <w:rsid w:val="007A1181"/>
    <w:rsid w:val="007A1EC7"/>
    <w:rsid w:val="007A26B5"/>
    <w:rsid w:val="007A4B2C"/>
    <w:rsid w:val="007A59C3"/>
    <w:rsid w:val="007B4264"/>
    <w:rsid w:val="007B4462"/>
    <w:rsid w:val="007B560F"/>
    <w:rsid w:val="007C2168"/>
    <w:rsid w:val="007C5345"/>
    <w:rsid w:val="007D5591"/>
    <w:rsid w:val="007D708D"/>
    <w:rsid w:val="007D7EEF"/>
    <w:rsid w:val="007E523F"/>
    <w:rsid w:val="007E572D"/>
    <w:rsid w:val="007E66B0"/>
    <w:rsid w:val="007F1694"/>
    <w:rsid w:val="007F2461"/>
    <w:rsid w:val="007F3722"/>
    <w:rsid w:val="007F4063"/>
    <w:rsid w:val="008031EA"/>
    <w:rsid w:val="00814BBD"/>
    <w:rsid w:val="008154E0"/>
    <w:rsid w:val="008158F7"/>
    <w:rsid w:val="0081753D"/>
    <w:rsid w:val="00820C58"/>
    <w:rsid w:val="00825ADB"/>
    <w:rsid w:val="0083659F"/>
    <w:rsid w:val="00845F6E"/>
    <w:rsid w:val="008473FB"/>
    <w:rsid w:val="008511F1"/>
    <w:rsid w:val="0085530D"/>
    <w:rsid w:val="00862422"/>
    <w:rsid w:val="008635A7"/>
    <w:rsid w:val="008657B1"/>
    <w:rsid w:val="008711A8"/>
    <w:rsid w:val="008750D8"/>
    <w:rsid w:val="008766C4"/>
    <w:rsid w:val="00887311"/>
    <w:rsid w:val="00893546"/>
    <w:rsid w:val="00894B42"/>
    <w:rsid w:val="00896746"/>
    <w:rsid w:val="008A202D"/>
    <w:rsid w:val="008A4A29"/>
    <w:rsid w:val="008A5760"/>
    <w:rsid w:val="008A6D64"/>
    <w:rsid w:val="008A7881"/>
    <w:rsid w:val="008B0EE5"/>
    <w:rsid w:val="008B2BE6"/>
    <w:rsid w:val="008C2B7C"/>
    <w:rsid w:val="008C6F99"/>
    <w:rsid w:val="008D067A"/>
    <w:rsid w:val="008D151C"/>
    <w:rsid w:val="008D16DF"/>
    <w:rsid w:val="008D5085"/>
    <w:rsid w:val="008D7154"/>
    <w:rsid w:val="008D7B01"/>
    <w:rsid w:val="008E09A7"/>
    <w:rsid w:val="008E1272"/>
    <w:rsid w:val="008E3746"/>
    <w:rsid w:val="008E41BC"/>
    <w:rsid w:val="008E7675"/>
    <w:rsid w:val="008F3C0E"/>
    <w:rsid w:val="008F4E03"/>
    <w:rsid w:val="008F7D34"/>
    <w:rsid w:val="00905A31"/>
    <w:rsid w:val="00910F6B"/>
    <w:rsid w:val="0091332E"/>
    <w:rsid w:val="00916A06"/>
    <w:rsid w:val="009256A3"/>
    <w:rsid w:val="00931D33"/>
    <w:rsid w:val="00934174"/>
    <w:rsid w:val="0093502D"/>
    <w:rsid w:val="00936897"/>
    <w:rsid w:val="00943364"/>
    <w:rsid w:val="00944178"/>
    <w:rsid w:val="00950856"/>
    <w:rsid w:val="009551B6"/>
    <w:rsid w:val="00955586"/>
    <w:rsid w:val="00965A5D"/>
    <w:rsid w:val="009708F2"/>
    <w:rsid w:val="00974745"/>
    <w:rsid w:val="00977A74"/>
    <w:rsid w:val="00984455"/>
    <w:rsid w:val="0098560F"/>
    <w:rsid w:val="00986CE2"/>
    <w:rsid w:val="00991AEC"/>
    <w:rsid w:val="00993D75"/>
    <w:rsid w:val="00995993"/>
    <w:rsid w:val="009A0A8C"/>
    <w:rsid w:val="009A3AAD"/>
    <w:rsid w:val="009A5027"/>
    <w:rsid w:val="009A5580"/>
    <w:rsid w:val="009A6568"/>
    <w:rsid w:val="009B2420"/>
    <w:rsid w:val="009B2C33"/>
    <w:rsid w:val="009B2E62"/>
    <w:rsid w:val="009B4108"/>
    <w:rsid w:val="009B5E5F"/>
    <w:rsid w:val="009B7C1E"/>
    <w:rsid w:val="009D59B2"/>
    <w:rsid w:val="009D5F87"/>
    <w:rsid w:val="009D62D5"/>
    <w:rsid w:val="009D79FF"/>
    <w:rsid w:val="009D7CC5"/>
    <w:rsid w:val="009E5442"/>
    <w:rsid w:val="009E6656"/>
    <w:rsid w:val="009F09FB"/>
    <w:rsid w:val="009F0BE2"/>
    <w:rsid w:val="009F22B3"/>
    <w:rsid w:val="009F2E37"/>
    <w:rsid w:val="009F4FC1"/>
    <w:rsid w:val="009F59AD"/>
    <w:rsid w:val="009F7C37"/>
    <w:rsid w:val="00A00FD7"/>
    <w:rsid w:val="00A0407D"/>
    <w:rsid w:val="00A04736"/>
    <w:rsid w:val="00A0690B"/>
    <w:rsid w:val="00A07DBD"/>
    <w:rsid w:val="00A07E27"/>
    <w:rsid w:val="00A108F0"/>
    <w:rsid w:val="00A10BFC"/>
    <w:rsid w:val="00A11DB1"/>
    <w:rsid w:val="00A1223F"/>
    <w:rsid w:val="00A15538"/>
    <w:rsid w:val="00A24011"/>
    <w:rsid w:val="00A242C9"/>
    <w:rsid w:val="00A2479E"/>
    <w:rsid w:val="00A24AA8"/>
    <w:rsid w:val="00A317B8"/>
    <w:rsid w:val="00A33D90"/>
    <w:rsid w:val="00A34CC3"/>
    <w:rsid w:val="00A36A1F"/>
    <w:rsid w:val="00A47E40"/>
    <w:rsid w:val="00A54DBC"/>
    <w:rsid w:val="00A5634B"/>
    <w:rsid w:val="00A6286F"/>
    <w:rsid w:val="00A64A83"/>
    <w:rsid w:val="00A64B4A"/>
    <w:rsid w:val="00A66D0A"/>
    <w:rsid w:val="00A673C4"/>
    <w:rsid w:val="00A7018C"/>
    <w:rsid w:val="00A76624"/>
    <w:rsid w:val="00A81AC1"/>
    <w:rsid w:val="00A97460"/>
    <w:rsid w:val="00AA2507"/>
    <w:rsid w:val="00AA38D9"/>
    <w:rsid w:val="00AA701E"/>
    <w:rsid w:val="00AB2DD4"/>
    <w:rsid w:val="00AB60F9"/>
    <w:rsid w:val="00AB7C7C"/>
    <w:rsid w:val="00AC05F8"/>
    <w:rsid w:val="00AD0748"/>
    <w:rsid w:val="00AD0B69"/>
    <w:rsid w:val="00AD1AE7"/>
    <w:rsid w:val="00AD4637"/>
    <w:rsid w:val="00AE0B2B"/>
    <w:rsid w:val="00AE2002"/>
    <w:rsid w:val="00AE20A6"/>
    <w:rsid w:val="00AE7C6B"/>
    <w:rsid w:val="00AF0D7D"/>
    <w:rsid w:val="00AF40A6"/>
    <w:rsid w:val="00AF582A"/>
    <w:rsid w:val="00AF7DBB"/>
    <w:rsid w:val="00B0039A"/>
    <w:rsid w:val="00B006A5"/>
    <w:rsid w:val="00B025A0"/>
    <w:rsid w:val="00B16131"/>
    <w:rsid w:val="00B173AE"/>
    <w:rsid w:val="00B20AD7"/>
    <w:rsid w:val="00B20CF2"/>
    <w:rsid w:val="00B24063"/>
    <w:rsid w:val="00B44628"/>
    <w:rsid w:val="00B45A7E"/>
    <w:rsid w:val="00B47E20"/>
    <w:rsid w:val="00B51498"/>
    <w:rsid w:val="00B52B12"/>
    <w:rsid w:val="00B53F7A"/>
    <w:rsid w:val="00B57508"/>
    <w:rsid w:val="00B603C7"/>
    <w:rsid w:val="00B61CA3"/>
    <w:rsid w:val="00B62F00"/>
    <w:rsid w:val="00B72CD6"/>
    <w:rsid w:val="00B83F48"/>
    <w:rsid w:val="00B845CA"/>
    <w:rsid w:val="00B8568C"/>
    <w:rsid w:val="00B85879"/>
    <w:rsid w:val="00B85FDE"/>
    <w:rsid w:val="00B86C1A"/>
    <w:rsid w:val="00B92071"/>
    <w:rsid w:val="00B9434B"/>
    <w:rsid w:val="00B94758"/>
    <w:rsid w:val="00B974D8"/>
    <w:rsid w:val="00BA2EB1"/>
    <w:rsid w:val="00BA3108"/>
    <w:rsid w:val="00BB0CF3"/>
    <w:rsid w:val="00BB2865"/>
    <w:rsid w:val="00BB3B0D"/>
    <w:rsid w:val="00BB4254"/>
    <w:rsid w:val="00BB4B62"/>
    <w:rsid w:val="00BB5C03"/>
    <w:rsid w:val="00BB5DBF"/>
    <w:rsid w:val="00BC038F"/>
    <w:rsid w:val="00BC559B"/>
    <w:rsid w:val="00BD05E0"/>
    <w:rsid w:val="00BD061E"/>
    <w:rsid w:val="00BD3B0E"/>
    <w:rsid w:val="00BD3D6F"/>
    <w:rsid w:val="00BD7547"/>
    <w:rsid w:val="00BE2072"/>
    <w:rsid w:val="00BE3B22"/>
    <w:rsid w:val="00BE4945"/>
    <w:rsid w:val="00BF0F94"/>
    <w:rsid w:val="00BF52E9"/>
    <w:rsid w:val="00BF7E7D"/>
    <w:rsid w:val="00C00F93"/>
    <w:rsid w:val="00C01BAE"/>
    <w:rsid w:val="00C06662"/>
    <w:rsid w:val="00C211C5"/>
    <w:rsid w:val="00C2404D"/>
    <w:rsid w:val="00C24FD2"/>
    <w:rsid w:val="00C279FB"/>
    <w:rsid w:val="00C318AA"/>
    <w:rsid w:val="00C40BCB"/>
    <w:rsid w:val="00C42493"/>
    <w:rsid w:val="00C43448"/>
    <w:rsid w:val="00C44BC5"/>
    <w:rsid w:val="00C450F3"/>
    <w:rsid w:val="00C52770"/>
    <w:rsid w:val="00C56544"/>
    <w:rsid w:val="00C57348"/>
    <w:rsid w:val="00C5791D"/>
    <w:rsid w:val="00C60C28"/>
    <w:rsid w:val="00C62E27"/>
    <w:rsid w:val="00C636F8"/>
    <w:rsid w:val="00C67157"/>
    <w:rsid w:val="00C67B13"/>
    <w:rsid w:val="00C711AB"/>
    <w:rsid w:val="00C74245"/>
    <w:rsid w:val="00C7454C"/>
    <w:rsid w:val="00C76E2A"/>
    <w:rsid w:val="00C8095F"/>
    <w:rsid w:val="00C86820"/>
    <w:rsid w:val="00C91911"/>
    <w:rsid w:val="00C92444"/>
    <w:rsid w:val="00C92F31"/>
    <w:rsid w:val="00C9403A"/>
    <w:rsid w:val="00C96264"/>
    <w:rsid w:val="00C97262"/>
    <w:rsid w:val="00CA16FD"/>
    <w:rsid w:val="00CA1B7E"/>
    <w:rsid w:val="00CA221E"/>
    <w:rsid w:val="00CA4934"/>
    <w:rsid w:val="00CA6147"/>
    <w:rsid w:val="00CB272D"/>
    <w:rsid w:val="00CB5829"/>
    <w:rsid w:val="00CC044B"/>
    <w:rsid w:val="00CC4514"/>
    <w:rsid w:val="00CC4E84"/>
    <w:rsid w:val="00CC5D3A"/>
    <w:rsid w:val="00CD0AE2"/>
    <w:rsid w:val="00CD337A"/>
    <w:rsid w:val="00CD55B3"/>
    <w:rsid w:val="00CD6B5D"/>
    <w:rsid w:val="00CE0B04"/>
    <w:rsid w:val="00CE1293"/>
    <w:rsid w:val="00CF09AC"/>
    <w:rsid w:val="00CF0BF1"/>
    <w:rsid w:val="00CF38A6"/>
    <w:rsid w:val="00D0054B"/>
    <w:rsid w:val="00D02C5F"/>
    <w:rsid w:val="00D0630D"/>
    <w:rsid w:val="00D12E6F"/>
    <w:rsid w:val="00D15F14"/>
    <w:rsid w:val="00D207A1"/>
    <w:rsid w:val="00D211C7"/>
    <w:rsid w:val="00D221E1"/>
    <w:rsid w:val="00D25D26"/>
    <w:rsid w:val="00D30B3B"/>
    <w:rsid w:val="00D31D54"/>
    <w:rsid w:val="00D31EB4"/>
    <w:rsid w:val="00D33723"/>
    <w:rsid w:val="00D35B44"/>
    <w:rsid w:val="00D370E5"/>
    <w:rsid w:val="00D40113"/>
    <w:rsid w:val="00D43C34"/>
    <w:rsid w:val="00D56F50"/>
    <w:rsid w:val="00D7782D"/>
    <w:rsid w:val="00D81F6E"/>
    <w:rsid w:val="00D83C34"/>
    <w:rsid w:val="00D90C0A"/>
    <w:rsid w:val="00D92E5F"/>
    <w:rsid w:val="00D96BE1"/>
    <w:rsid w:val="00DA3317"/>
    <w:rsid w:val="00DA5EFE"/>
    <w:rsid w:val="00DB01BE"/>
    <w:rsid w:val="00DB1379"/>
    <w:rsid w:val="00DB162D"/>
    <w:rsid w:val="00DB232C"/>
    <w:rsid w:val="00DC185F"/>
    <w:rsid w:val="00DD3004"/>
    <w:rsid w:val="00DD4E48"/>
    <w:rsid w:val="00DD4EB7"/>
    <w:rsid w:val="00DE207C"/>
    <w:rsid w:val="00DE495F"/>
    <w:rsid w:val="00DE4BE2"/>
    <w:rsid w:val="00DF1441"/>
    <w:rsid w:val="00DF2372"/>
    <w:rsid w:val="00E031FC"/>
    <w:rsid w:val="00E036FD"/>
    <w:rsid w:val="00E0654F"/>
    <w:rsid w:val="00E10183"/>
    <w:rsid w:val="00E1149C"/>
    <w:rsid w:val="00E147F6"/>
    <w:rsid w:val="00E250F4"/>
    <w:rsid w:val="00E301DE"/>
    <w:rsid w:val="00E32FB0"/>
    <w:rsid w:val="00E348E4"/>
    <w:rsid w:val="00E36E1C"/>
    <w:rsid w:val="00E41850"/>
    <w:rsid w:val="00E42377"/>
    <w:rsid w:val="00E43116"/>
    <w:rsid w:val="00E433FC"/>
    <w:rsid w:val="00E44551"/>
    <w:rsid w:val="00E44705"/>
    <w:rsid w:val="00E464CB"/>
    <w:rsid w:val="00E53873"/>
    <w:rsid w:val="00E53952"/>
    <w:rsid w:val="00E53A9E"/>
    <w:rsid w:val="00E53E77"/>
    <w:rsid w:val="00E55B68"/>
    <w:rsid w:val="00E604D6"/>
    <w:rsid w:val="00E621E4"/>
    <w:rsid w:val="00E665D1"/>
    <w:rsid w:val="00E70E77"/>
    <w:rsid w:val="00E71745"/>
    <w:rsid w:val="00E80D9D"/>
    <w:rsid w:val="00E811E6"/>
    <w:rsid w:val="00E86F45"/>
    <w:rsid w:val="00E87AC1"/>
    <w:rsid w:val="00E92BBD"/>
    <w:rsid w:val="00E94433"/>
    <w:rsid w:val="00EA2851"/>
    <w:rsid w:val="00EA4205"/>
    <w:rsid w:val="00EA5B85"/>
    <w:rsid w:val="00EA6301"/>
    <w:rsid w:val="00EB0321"/>
    <w:rsid w:val="00EB48AD"/>
    <w:rsid w:val="00EB6B33"/>
    <w:rsid w:val="00EC4123"/>
    <w:rsid w:val="00EC508A"/>
    <w:rsid w:val="00ED6CB6"/>
    <w:rsid w:val="00EF2762"/>
    <w:rsid w:val="00EF4C74"/>
    <w:rsid w:val="00F01D2A"/>
    <w:rsid w:val="00F021B1"/>
    <w:rsid w:val="00F02D5A"/>
    <w:rsid w:val="00F0357F"/>
    <w:rsid w:val="00F037DC"/>
    <w:rsid w:val="00F04AB2"/>
    <w:rsid w:val="00F1192F"/>
    <w:rsid w:val="00F11B79"/>
    <w:rsid w:val="00F1235E"/>
    <w:rsid w:val="00F14B23"/>
    <w:rsid w:val="00F1640D"/>
    <w:rsid w:val="00F16597"/>
    <w:rsid w:val="00F17EA5"/>
    <w:rsid w:val="00F17EFA"/>
    <w:rsid w:val="00F253E7"/>
    <w:rsid w:val="00F30920"/>
    <w:rsid w:val="00F343A6"/>
    <w:rsid w:val="00F35B91"/>
    <w:rsid w:val="00F47F62"/>
    <w:rsid w:val="00F5349E"/>
    <w:rsid w:val="00F578ED"/>
    <w:rsid w:val="00F57F79"/>
    <w:rsid w:val="00F668C8"/>
    <w:rsid w:val="00F73AD2"/>
    <w:rsid w:val="00F74E26"/>
    <w:rsid w:val="00F75E83"/>
    <w:rsid w:val="00F825B0"/>
    <w:rsid w:val="00F92D98"/>
    <w:rsid w:val="00FA14D8"/>
    <w:rsid w:val="00FA4378"/>
    <w:rsid w:val="00FB3798"/>
    <w:rsid w:val="00FC1664"/>
    <w:rsid w:val="00FD4CCB"/>
    <w:rsid w:val="00FD632F"/>
    <w:rsid w:val="00FE2EA5"/>
    <w:rsid w:val="00FE3887"/>
    <w:rsid w:val="00FF3785"/>
    <w:rsid w:val="00FF5AD6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2A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B4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4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val="hr-HR"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val="hr-HR"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val="hr-HR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val="hr-HR"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val="hr-HR"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2B4D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numbering" w:customStyle="1" w:styleId="Bezpopisa2">
    <w:name w:val="Bez popisa2"/>
    <w:next w:val="Bezpopisa"/>
    <w:uiPriority w:val="99"/>
    <w:semiHidden/>
    <w:unhideWhenUsed/>
    <w:rsid w:val="002B4DA5"/>
  </w:style>
  <w:style w:type="table" w:customStyle="1" w:styleId="Reetkatablice1">
    <w:name w:val="Rešetka tablice1"/>
    <w:basedOn w:val="Obinatablica"/>
    <w:next w:val="Reetkatablice"/>
    <w:uiPriority w:val="39"/>
    <w:rsid w:val="002B4D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Normal"/>
    <w:rsid w:val="003B1478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10">
    <w:name w:val="font10"/>
    <w:basedOn w:val="Normal"/>
    <w:rsid w:val="003B1478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1">
    <w:name w:val="xl171"/>
    <w:basedOn w:val="Normal"/>
    <w:rsid w:val="003B1478"/>
    <w:pPr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72">
    <w:name w:val="xl172"/>
    <w:basedOn w:val="Normal"/>
    <w:rsid w:val="003B1478"/>
    <w:pP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73">
    <w:name w:val="xl173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4">
    <w:name w:val="xl174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5">
    <w:name w:val="xl175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6">
    <w:name w:val="xl176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7">
    <w:name w:val="xl177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78">
    <w:name w:val="xl178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79">
    <w:name w:val="xl179"/>
    <w:basedOn w:val="Normal"/>
    <w:rsid w:val="003B1478"/>
    <w:pPr>
      <w:shd w:val="clear" w:color="000000" w:fill="BFBFBF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0">
    <w:name w:val="xl180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1">
    <w:name w:val="xl181"/>
    <w:basedOn w:val="Normal"/>
    <w:rsid w:val="003B1478"/>
    <w:pP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2">
    <w:name w:val="xl182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3">
    <w:name w:val="xl183"/>
    <w:basedOn w:val="Normal"/>
    <w:rsid w:val="003B1478"/>
    <w:pP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4">
    <w:name w:val="xl184"/>
    <w:basedOn w:val="Normal"/>
    <w:rsid w:val="003B1478"/>
    <w:pPr>
      <w:shd w:val="clear" w:color="000000" w:fill="16365C"/>
      <w:spacing w:before="100" w:beforeAutospacing="1" w:after="100" w:afterAutospacing="1"/>
      <w:jc w:val="right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85">
    <w:name w:val="xl185"/>
    <w:basedOn w:val="Normal"/>
    <w:rsid w:val="003B1478"/>
    <w:pPr>
      <w:shd w:val="clear" w:color="000000" w:fill="5050A8"/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86">
    <w:name w:val="xl186"/>
    <w:basedOn w:val="Normal"/>
    <w:rsid w:val="003B1478"/>
    <w:pPr>
      <w:shd w:val="clear" w:color="000000" w:fill="00B0F0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87">
    <w:name w:val="xl187"/>
    <w:basedOn w:val="Normal"/>
    <w:rsid w:val="003B1478"/>
    <w:pP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88">
    <w:name w:val="xl188"/>
    <w:basedOn w:val="Normal"/>
    <w:rsid w:val="003B1478"/>
    <w:pPr>
      <w:shd w:val="clear" w:color="000000" w:fill="00B0F0"/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89">
    <w:name w:val="xl189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90">
    <w:name w:val="xl190"/>
    <w:basedOn w:val="Normal"/>
    <w:rsid w:val="003B1478"/>
    <w:pPr>
      <w:shd w:val="clear" w:color="000000" w:fill="BFBFBF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91">
    <w:name w:val="xl191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92">
    <w:name w:val="xl192"/>
    <w:basedOn w:val="Normal"/>
    <w:rsid w:val="003B1478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93">
    <w:name w:val="xl193"/>
    <w:basedOn w:val="Normal"/>
    <w:rsid w:val="003B147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hr-HR" w:eastAsia="hr-HR"/>
    </w:rPr>
  </w:style>
  <w:style w:type="paragraph" w:customStyle="1" w:styleId="xl194">
    <w:name w:val="xl194"/>
    <w:basedOn w:val="Normal"/>
    <w:rsid w:val="003B1478"/>
    <w:pP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195">
    <w:name w:val="xl195"/>
    <w:basedOn w:val="Normal"/>
    <w:rsid w:val="003B1478"/>
    <w:pP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196">
    <w:name w:val="xl196"/>
    <w:basedOn w:val="Normal"/>
    <w:rsid w:val="003B1478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97">
    <w:name w:val="xl197"/>
    <w:basedOn w:val="Normal"/>
    <w:rsid w:val="003B1478"/>
    <w:pP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98">
    <w:name w:val="xl198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99">
    <w:name w:val="xl199"/>
    <w:basedOn w:val="Normal"/>
    <w:rsid w:val="003B1478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0">
    <w:name w:val="xl200"/>
    <w:basedOn w:val="Normal"/>
    <w:rsid w:val="003B1478"/>
    <w:pP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1">
    <w:name w:val="xl201"/>
    <w:basedOn w:val="Normal"/>
    <w:rsid w:val="003B1478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2">
    <w:name w:val="xl202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3">
    <w:name w:val="xl203"/>
    <w:basedOn w:val="Normal"/>
    <w:rsid w:val="003B1478"/>
    <w:pP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4">
    <w:name w:val="xl204"/>
    <w:basedOn w:val="Normal"/>
    <w:rsid w:val="003B1478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5">
    <w:name w:val="xl205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6">
    <w:name w:val="xl206"/>
    <w:basedOn w:val="Normal"/>
    <w:rsid w:val="003B147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7">
    <w:name w:val="xl207"/>
    <w:basedOn w:val="Normal"/>
    <w:rsid w:val="003B1478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8">
    <w:name w:val="xl208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9">
    <w:name w:val="xl209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0">
    <w:name w:val="xl210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1">
    <w:name w:val="xl211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2">
    <w:name w:val="xl212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3">
    <w:name w:val="xl213"/>
    <w:basedOn w:val="Normal"/>
    <w:rsid w:val="003B1478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4">
    <w:name w:val="xl214"/>
    <w:basedOn w:val="Normal"/>
    <w:rsid w:val="003B1478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5">
    <w:name w:val="xl215"/>
    <w:basedOn w:val="Normal"/>
    <w:rsid w:val="003B1478"/>
    <w:pP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6">
    <w:name w:val="xl216"/>
    <w:basedOn w:val="Normal"/>
    <w:rsid w:val="003B1478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7">
    <w:name w:val="xl217"/>
    <w:basedOn w:val="Normal"/>
    <w:rsid w:val="003B1478"/>
    <w:pP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8">
    <w:name w:val="xl218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9">
    <w:name w:val="xl219"/>
    <w:basedOn w:val="Normal"/>
    <w:rsid w:val="006B6BBB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20">
    <w:name w:val="xl220"/>
    <w:basedOn w:val="Normal"/>
    <w:rsid w:val="006B6BBB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21">
    <w:name w:val="xl221"/>
    <w:basedOn w:val="Normal"/>
    <w:rsid w:val="006B6BBB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222">
    <w:name w:val="xl222"/>
    <w:basedOn w:val="Normal"/>
    <w:rsid w:val="006B6BBB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223">
    <w:name w:val="xl223"/>
    <w:basedOn w:val="Normal"/>
    <w:rsid w:val="006B6BBB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24">
    <w:name w:val="xl224"/>
    <w:basedOn w:val="Normal"/>
    <w:rsid w:val="006B6BBB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41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paragraph" w:customStyle="1" w:styleId="Normal1">
    <w:name w:val="Normal1"/>
    <w:uiPriority w:val="99"/>
    <w:rsid w:val="00760B3C"/>
    <w:pPr>
      <w:widowControl w:val="0"/>
      <w:suppressAutoHyphens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xl225">
    <w:name w:val="xl225"/>
    <w:basedOn w:val="Normal"/>
    <w:rsid w:val="00955586"/>
    <w:pPr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226">
    <w:name w:val="xl226"/>
    <w:basedOn w:val="Normal"/>
    <w:rsid w:val="00955586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227">
    <w:name w:val="xl227"/>
    <w:basedOn w:val="Normal"/>
    <w:rsid w:val="00955586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228">
    <w:name w:val="xl228"/>
    <w:basedOn w:val="Normal"/>
    <w:rsid w:val="00955586"/>
    <w:pPr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229">
    <w:name w:val="xl229"/>
    <w:basedOn w:val="Normal"/>
    <w:rsid w:val="00955586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30">
    <w:name w:val="xl230"/>
    <w:basedOn w:val="Normal"/>
    <w:rsid w:val="000533CD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31">
    <w:name w:val="xl231"/>
    <w:basedOn w:val="Normal"/>
    <w:rsid w:val="000533C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32">
    <w:name w:val="xl232"/>
    <w:basedOn w:val="Normal"/>
    <w:rsid w:val="000533CD"/>
    <w:pPr>
      <w:spacing w:before="100" w:beforeAutospacing="1" w:after="100" w:afterAutospacing="1"/>
    </w:pPr>
    <w:rPr>
      <w:color w:val="000000"/>
      <w:lang w:val="hr-HR" w:eastAsia="hr-HR"/>
    </w:rPr>
  </w:style>
  <w:style w:type="paragraph" w:customStyle="1" w:styleId="xl233">
    <w:name w:val="xl233"/>
    <w:basedOn w:val="Normal"/>
    <w:rsid w:val="000533CD"/>
    <w:pPr>
      <w:shd w:val="clear" w:color="000000" w:fill="FDE9D9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4A83-D351-475B-9A74-5B290355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12227</Words>
  <Characters>86923</Characters>
  <Application>Microsoft Office Word</Application>
  <DocSecurity>0</DocSecurity>
  <Lines>724</Lines>
  <Paragraphs>197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98953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2</cp:revision>
  <cp:lastPrinted>2023-01-03T13:21:00Z</cp:lastPrinted>
  <dcterms:created xsi:type="dcterms:W3CDTF">2023-12-12T11:51:00Z</dcterms:created>
  <dcterms:modified xsi:type="dcterms:W3CDTF">2023-12-12T11:51:00Z</dcterms:modified>
</cp:coreProperties>
</file>