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C87B" w14:textId="77777777" w:rsidR="00EE2AE9" w:rsidRPr="00EE2AE9" w:rsidRDefault="00EE2AE9" w:rsidP="00EE2AE9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E2A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</w:t>
      </w:r>
      <w:r w:rsidRPr="00EE2AE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F95EDE6" wp14:editId="55D4617A">
            <wp:extent cx="466725" cy="600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A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5402EC53" w14:textId="77777777" w:rsidR="00EE2AE9" w:rsidRPr="00EE2AE9" w:rsidRDefault="00EE2AE9" w:rsidP="00EE2AE9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REPUBLIKA HRVATSKA</w:t>
      </w:r>
    </w:p>
    <w:p w14:paraId="0F311D99" w14:textId="77777777" w:rsidR="00EE2AE9" w:rsidRPr="00EE2AE9" w:rsidRDefault="00EE2AE9" w:rsidP="00EE2AE9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SPLITSKO-DALMATINSKA ŽUPANIJA</w:t>
      </w:r>
    </w:p>
    <w:p w14:paraId="6A492A35" w14:textId="77777777" w:rsidR="00EE2AE9" w:rsidRPr="00EE2AE9" w:rsidRDefault="00EE2AE9" w:rsidP="00EE2A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            OPĆINA PODSTRANA </w:t>
      </w:r>
    </w:p>
    <w:p w14:paraId="13E512D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5611796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76C664C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149D5CA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F96EC7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431BB3E4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                       </w:t>
      </w: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OPĆINA PODSTRANA</w:t>
      </w:r>
    </w:p>
    <w:p w14:paraId="18D10560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25C7FBA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040E3653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046BCE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24C9F74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21622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62C00EF8" w14:textId="434C18EF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PREDMET: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F46B83">
        <w:rPr>
          <w:rFonts w:ascii="Arial" w:eastAsia="Times New Roman" w:hAnsi="Arial" w:cs="Arial"/>
          <w:noProof/>
          <w:sz w:val="24"/>
          <w:szCs w:val="24"/>
        </w:rPr>
        <w:t>Odluka o donošenju I</w:t>
      </w:r>
      <w:proofErr w:type="spellStart"/>
      <w:r w:rsidRPr="00F46B83">
        <w:rPr>
          <w:rFonts w:ascii="Arial" w:eastAsia="Arial" w:hAnsi="Arial" w:cs="Arial"/>
          <w:bCs/>
          <w:spacing w:val="-2"/>
          <w:sz w:val="24"/>
          <w:szCs w:val="24"/>
        </w:rPr>
        <w:t>z</w:t>
      </w:r>
      <w:r w:rsidRPr="00F46B83">
        <w:rPr>
          <w:rFonts w:ascii="Arial" w:eastAsia="Arial" w:hAnsi="Arial" w:cs="Arial"/>
          <w:bCs/>
          <w:sz w:val="24"/>
          <w:szCs w:val="24"/>
        </w:rPr>
        <w:t>m</w:t>
      </w:r>
      <w:r w:rsidRPr="00F46B83">
        <w:rPr>
          <w:rFonts w:ascii="Arial" w:eastAsia="Arial" w:hAnsi="Arial" w:cs="Arial"/>
          <w:bCs/>
          <w:spacing w:val="1"/>
          <w:sz w:val="24"/>
          <w:szCs w:val="24"/>
        </w:rPr>
        <w:t>j</w:t>
      </w:r>
      <w:r w:rsidRPr="00F46B83">
        <w:rPr>
          <w:rFonts w:ascii="Arial" w:eastAsia="Arial" w:hAnsi="Arial" w:cs="Arial"/>
          <w:bCs/>
          <w:spacing w:val="-3"/>
          <w:sz w:val="24"/>
          <w:szCs w:val="24"/>
        </w:rPr>
        <w:t>e</w:t>
      </w:r>
      <w:r w:rsidRPr="00F46B83">
        <w:rPr>
          <w:rFonts w:ascii="Arial" w:eastAsia="Arial" w:hAnsi="Arial" w:cs="Arial"/>
          <w:bCs/>
          <w:spacing w:val="-2"/>
          <w:sz w:val="24"/>
          <w:szCs w:val="24"/>
        </w:rPr>
        <w:t>n</w:t>
      </w:r>
      <w:r w:rsidRPr="00F46B83">
        <w:rPr>
          <w:rFonts w:ascii="Arial" w:eastAsia="Arial" w:hAnsi="Arial" w:cs="Arial"/>
          <w:bCs/>
          <w:sz w:val="24"/>
          <w:szCs w:val="24"/>
        </w:rPr>
        <w:t>a</w:t>
      </w:r>
      <w:proofErr w:type="spellEnd"/>
      <w:r w:rsidRPr="00F46B83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F46B83">
        <w:rPr>
          <w:rFonts w:ascii="Arial" w:eastAsia="Arial" w:hAnsi="Arial" w:cs="Arial"/>
          <w:bCs/>
          <w:sz w:val="24"/>
          <w:szCs w:val="24"/>
        </w:rPr>
        <w:t xml:space="preserve">i </w:t>
      </w:r>
      <w:r w:rsidRPr="00F46B83">
        <w:rPr>
          <w:rFonts w:ascii="Arial" w:eastAsia="Arial" w:hAnsi="Arial" w:cs="Arial"/>
          <w:bCs/>
          <w:spacing w:val="-2"/>
          <w:sz w:val="24"/>
          <w:szCs w:val="24"/>
        </w:rPr>
        <w:t>dopun</w:t>
      </w:r>
      <w:r w:rsidRPr="00F46B83">
        <w:rPr>
          <w:rFonts w:ascii="Arial" w:eastAsia="Arial" w:hAnsi="Arial" w:cs="Arial"/>
          <w:bCs/>
          <w:sz w:val="24"/>
          <w:szCs w:val="24"/>
        </w:rPr>
        <w:t>a</w:t>
      </w:r>
      <w:r w:rsidRPr="00F46B83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F46B83" w:rsidRPr="00F46B83">
        <w:rPr>
          <w:rFonts w:ascii="Arial" w:hAnsi="Arial" w:cs="Arial"/>
          <w:sz w:val="24"/>
          <w:szCs w:val="24"/>
        </w:rPr>
        <w:t>Urbanističkog plana uređenja „Obalni dio od HC „LAV“ do naselja Mutogras“</w:t>
      </w:r>
    </w:p>
    <w:p w14:paraId="7D0B29F7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055DBD2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</w:p>
    <w:p w14:paraId="68DEE120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  <w:t xml:space="preserve">     </w:t>
      </w:r>
    </w:p>
    <w:p w14:paraId="496F80A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55A7ACC8" w14:textId="379D896C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PRAVNI OSNOV: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sz w:val="24"/>
          <w:szCs w:val="24"/>
        </w:rPr>
        <w:t>Zakon o prostornom uređenju (Narodne novine broj 153/13, 65/17</w:t>
      </w:r>
      <w:r w:rsidR="00F46B83">
        <w:rPr>
          <w:rFonts w:ascii="Arial" w:eastAsia="Times New Roman" w:hAnsi="Arial" w:cs="Arial"/>
          <w:sz w:val="24"/>
          <w:szCs w:val="24"/>
        </w:rPr>
        <w:t>, 1</w:t>
      </w:r>
      <w:r w:rsidRPr="00EE2AE9">
        <w:rPr>
          <w:rFonts w:ascii="Arial" w:eastAsia="Times New Roman" w:hAnsi="Arial" w:cs="Arial"/>
          <w:sz w:val="24"/>
          <w:szCs w:val="24"/>
        </w:rPr>
        <w:t>14/8</w:t>
      </w:r>
      <w:r w:rsidR="00F46B83">
        <w:rPr>
          <w:rFonts w:ascii="Arial" w:eastAsia="Times New Roman" w:hAnsi="Arial" w:cs="Arial"/>
          <w:sz w:val="24"/>
          <w:szCs w:val="24"/>
        </w:rPr>
        <w:t>, 39/19 i 98/19</w:t>
      </w:r>
      <w:r w:rsidRPr="00EE2AE9">
        <w:rPr>
          <w:rFonts w:ascii="Arial" w:eastAsia="Times New Roman" w:hAnsi="Arial" w:cs="Arial"/>
          <w:sz w:val="24"/>
          <w:szCs w:val="24"/>
        </w:rPr>
        <w:t>)</w:t>
      </w:r>
    </w:p>
    <w:p w14:paraId="1C9C693F" w14:textId="77777777" w:rsidR="00EE2AE9" w:rsidRPr="00EE2AE9" w:rsidRDefault="00EE2AE9" w:rsidP="00EE2AE9">
      <w:pPr>
        <w:spacing w:after="0" w:line="240" w:lineRule="auto"/>
        <w:ind w:left="4950" w:hanging="4950"/>
        <w:rPr>
          <w:rFonts w:ascii="Arial" w:eastAsia="Times New Roman" w:hAnsi="Arial" w:cs="Arial"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14:paraId="377E61A4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</w:p>
    <w:p w14:paraId="06749C8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42A6D478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NADLEŽNOST ZA  </w:t>
      </w:r>
    </w:p>
    <w:p w14:paraId="1531D41E" w14:textId="77777777" w:rsidR="00EE2AE9" w:rsidRPr="00EE2AE9" w:rsidRDefault="00EE2AE9" w:rsidP="00EE2AE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DONOŠENJE: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Općinsko vijeće</w:t>
      </w:r>
    </w:p>
    <w:p w14:paraId="33A3322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16C8D9C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257F45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46C01E" w14:textId="77777777" w:rsidR="00EE2AE9" w:rsidRPr="00EE2AE9" w:rsidRDefault="00EE2AE9" w:rsidP="00EE2AE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PREDLAGATELJ: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Općinski načelnik</w:t>
      </w:r>
    </w:p>
    <w:p w14:paraId="7C453668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6452933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264A2EE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6F6B95A" w14:textId="77777777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STRUČNA OBRADA: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Upravni odjel za prostorno uređenje, komunalne poslove i zaštitu okoliša</w:t>
      </w:r>
    </w:p>
    <w:p w14:paraId="42316C37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7D114E7F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1BFD5A25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61780898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54EE902D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5F1DE9D5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19A08844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3E986428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774728FF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500C8CAE" w14:textId="14FE4C92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lastRenderedPageBreak/>
        <w:t xml:space="preserve">Na temelju članka 109. stavka 6., članka 113. stavka 1. i članka 198. stavka 3. Zakona o prostornom uređenju </w:t>
      </w:r>
      <w:r w:rsidRPr="000A7ACE">
        <w:rPr>
          <w:rFonts w:ascii="Arial" w:hAnsi="Arial" w:cs="Arial"/>
          <w:i/>
        </w:rPr>
        <w:t>(Narodne novine broj 153/13, 65/17, 114/18, 39/19 i 98/19)</w:t>
      </w:r>
      <w:r w:rsidRPr="000A7ACE">
        <w:rPr>
          <w:rFonts w:ascii="Arial" w:hAnsi="Arial" w:cs="Arial"/>
        </w:rPr>
        <w:t xml:space="preserve">, te članka 30. Statuta Općine Podstrana </w:t>
      </w:r>
      <w:r w:rsidRPr="000A7ACE">
        <w:rPr>
          <w:rFonts w:ascii="Arial" w:hAnsi="Arial" w:cs="Arial"/>
          <w:i/>
        </w:rPr>
        <w:t>(Službeni Glasnik Općine Podstrana broj 7/21, 21/21)</w:t>
      </w:r>
      <w:r w:rsidRPr="000A7ACE">
        <w:rPr>
          <w:rFonts w:ascii="Arial" w:hAnsi="Arial" w:cs="Arial"/>
        </w:rPr>
        <w:t xml:space="preserve"> Općinsko vijeće Općine Podstrana, na </w:t>
      </w:r>
      <w:r w:rsidR="005C6CA3">
        <w:rPr>
          <w:rFonts w:ascii="Arial" w:hAnsi="Arial" w:cs="Arial"/>
        </w:rPr>
        <w:t>15</w:t>
      </w:r>
      <w:r w:rsidRPr="000A7ACE">
        <w:rPr>
          <w:rFonts w:ascii="Arial" w:hAnsi="Arial" w:cs="Arial"/>
        </w:rPr>
        <w:t xml:space="preserve">. sjednici održanoj </w:t>
      </w:r>
      <w:r w:rsidR="005C6CA3">
        <w:rPr>
          <w:rFonts w:ascii="Arial" w:hAnsi="Arial" w:cs="Arial"/>
        </w:rPr>
        <w:t>27</w:t>
      </w:r>
      <w:r w:rsidRPr="000A7ACE">
        <w:rPr>
          <w:rFonts w:ascii="Arial" w:hAnsi="Arial" w:cs="Arial"/>
        </w:rPr>
        <w:t xml:space="preserve">. </w:t>
      </w:r>
      <w:r w:rsidR="005C6CA3">
        <w:rPr>
          <w:rFonts w:ascii="Arial" w:hAnsi="Arial" w:cs="Arial"/>
        </w:rPr>
        <w:t>veljače</w:t>
      </w:r>
      <w:r w:rsidRPr="000A7ACE">
        <w:rPr>
          <w:rFonts w:ascii="Arial" w:hAnsi="Arial" w:cs="Arial"/>
        </w:rPr>
        <w:t xml:space="preserve"> </w:t>
      </w:r>
      <w:r w:rsidR="005C6CA3">
        <w:rPr>
          <w:rFonts w:ascii="Arial" w:hAnsi="Arial" w:cs="Arial"/>
        </w:rPr>
        <w:t>2023</w:t>
      </w:r>
      <w:r w:rsidRPr="000A7ACE">
        <w:rPr>
          <w:rFonts w:ascii="Arial" w:hAnsi="Arial" w:cs="Arial"/>
        </w:rPr>
        <w:t>. godine, donosi</w:t>
      </w:r>
    </w:p>
    <w:p w14:paraId="0C7DD69E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529F11FC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3B81DF4B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ACE">
        <w:rPr>
          <w:rFonts w:ascii="Arial" w:hAnsi="Arial" w:cs="Arial"/>
          <w:b/>
          <w:sz w:val="24"/>
          <w:szCs w:val="24"/>
        </w:rPr>
        <w:t>O D L U K U</w:t>
      </w:r>
    </w:p>
    <w:p w14:paraId="26DF5F7D" w14:textId="77777777" w:rsidR="000A7ACE" w:rsidRDefault="000A7ACE" w:rsidP="000A7ACE">
      <w:pPr>
        <w:spacing w:after="0" w:line="240" w:lineRule="auto"/>
        <w:jc w:val="center"/>
        <w:rPr>
          <w:rFonts w:ascii="Arial" w:hAnsi="Arial" w:cs="Arial"/>
          <w:b/>
        </w:rPr>
      </w:pPr>
    </w:p>
    <w:p w14:paraId="0060058F" w14:textId="1896BAA1" w:rsidR="000A7ACE" w:rsidRPr="000A7ACE" w:rsidRDefault="007D482E" w:rsidP="000A7ACE">
      <w:pPr>
        <w:spacing w:after="0" w:line="240" w:lineRule="auto"/>
        <w:jc w:val="center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>o donošenju</w:t>
      </w:r>
    </w:p>
    <w:p w14:paraId="7EC1F319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 xml:space="preserve">Izmjena i dopuna Urbanističkog plana uređenja </w:t>
      </w:r>
    </w:p>
    <w:p w14:paraId="7197F01B" w14:textId="625EF841" w:rsidR="000A7ACE" w:rsidRDefault="000A7ACE" w:rsidP="000A7ACE">
      <w:pPr>
        <w:spacing w:after="0" w:line="240" w:lineRule="auto"/>
        <w:jc w:val="center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>„Obalni dio od HC „LAV“ do naselja Mutogras“</w:t>
      </w:r>
    </w:p>
    <w:p w14:paraId="7066B824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  <w:b/>
        </w:rPr>
      </w:pPr>
    </w:p>
    <w:p w14:paraId="6CE324EE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610CB8AB" w14:textId="77777777" w:rsidR="000A7ACE" w:rsidRPr="000A7ACE" w:rsidRDefault="000A7ACE" w:rsidP="000A7ACE">
      <w:pPr>
        <w:spacing w:after="0" w:line="240" w:lineRule="auto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>I. OPĆE ODREDBE</w:t>
      </w:r>
    </w:p>
    <w:p w14:paraId="40155BDA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0E718AF9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</w:rPr>
      </w:pPr>
      <w:r w:rsidRPr="000A7ACE">
        <w:rPr>
          <w:rFonts w:ascii="Arial" w:hAnsi="Arial" w:cs="Arial"/>
        </w:rPr>
        <w:t>Članak 1.</w:t>
      </w:r>
    </w:p>
    <w:p w14:paraId="34ED1E97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07BB602C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 xml:space="preserve">(1) Donose se Izmjene i dopune Urbanističkog plana uređenja „Obalni dio od HC „LAV“ do naselja Mutogras“ </w:t>
      </w:r>
      <w:r w:rsidRPr="000A7ACE">
        <w:rPr>
          <w:rFonts w:ascii="Arial" w:hAnsi="Arial" w:cs="Arial"/>
          <w:i/>
        </w:rPr>
        <w:t>(„Službeni glasnik Općine Podstrana“ broj 7/08),</w:t>
      </w:r>
      <w:r w:rsidRPr="000A7ACE">
        <w:rPr>
          <w:rFonts w:ascii="Arial" w:hAnsi="Arial" w:cs="Arial"/>
        </w:rPr>
        <w:t xml:space="preserve"> u daljnjem tekstu: „Plan“.</w:t>
      </w:r>
    </w:p>
    <w:p w14:paraId="3A653F3E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5937FD65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 xml:space="preserve">(2)  Plan se mijenja u tekstualnom dijelu - Odredbama za provođenje, te grafičkom dijelu za područje obuhvata određeno „Zajedničkom Odlukom o izradi Izmjena i dopuna Urbanističkog plana uređenja “Obalni dio od HC „LAV“ do naselja Mutogras“ i s tim u vezi Izmjena i dopuna Prostornog plana uređenja Općine Podstrana za područje lučice u Svetom Martinu </w:t>
      </w:r>
      <w:r w:rsidRPr="000A7ACE">
        <w:rPr>
          <w:rFonts w:ascii="Arial" w:hAnsi="Arial" w:cs="Arial"/>
          <w:i/>
        </w:rPr>
        <w:t xml:space="preserve">(„Službeni glasnik Općine Podstrana“ broj 16/19), </w:t>
      </w:r>
      <w:r w:rsidRPr="000A7ACE">
        <w:rPr>
          <w:rFonts w:ascii="Arial" w:hAnsi="Arial" w:cs="Arial"/>
        </w:rPr>
        <w:t>u daljnjem tekstu: „Zajednička odluka“.</w:t>
      </w:r>
    </w:p>
    <w:p w14:paraId="5400FDA8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450FFA6F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 xml:space="preserve">(3) Plan je izradila je tvrtka </w:t>
      </w:r>
      <w:proofErr w:type="spellStart"/>
      <w:r w:rsidRPr="000A7ACE">
        <w:rPr>
          <w:rFonts w:ascii="Arial" w:hAnsi="Arial" w:cs="Arial"/>
        </w:rPr>
        <w:t>Geoprojekt</w:t>
      </w:r>
      <w:proofErr w:type="spellEnd"/>
      <w:r w:rsidRPr="000A7ACE">
        <w:rPr>
          <w:rFonts w:ascii="Arial" w:hAnsi="Arial" w:cs="Arial"/>
        </w:rPr>
        <w:t xml:space="preserve"> d.d. iz Splita.</w:t>
      </w:r>
    </w:p>
    <w:p w14:paraId="11075D74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6298D88C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1CB84F8C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</w:rPr>
      </w:pPr>
      <w:r w:rsidRPr="000A7ACE">
        <w:rPr>
          <w:rFonts w:ascii="Arial" w:hAnsi="Arial" w:cs="Arial"/>
        </w:rPr>
        <w:t>Članak 2.</w:t>
      </w:r>
    </w:p>
    <w:p w14:paraId="65D07BC8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0A29A444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>(1) Elaborat Plana sastavni je dio ove Odluke i sadrži:</w:t>
      </w:r>
    </w:p>
    <w:p w14:paraId="7A8F7ACC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6D66E9DB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>1. OPĆI DIO</w:t>
      </w:r>
    </w:p>
    <w:p w14:paraId="2026593E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7A3A5B8A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>2. TEKSTUALNI DIO</w:t>
      </w:r>
    </w:p>
    <w:p w14:paraId="2BD6A9EE" w14:textId="77777777" w:rsidR="000A7ACE" w:rsidRPr="000A7ACE" w:rsidRDefault="000A7ACE" w:rsidP="000A7ACE">
      <w:pPr>
        <w:tabs>
          <w:tab w:val="num" w:pos="1429"/>
        </w:tabs>
        <w:spacing w:after="0" w:line="240" w:lineRule="auto"/>
        <w:ind w:left="284"/>
        <w:rPr>
          <w:rFonts w:ascii="Arial" w:hAnsi="Arial" w:cs="Arial"/>
        </w:rPr>
      </w:pPr>
      <w:r w:rsidRPr="000A7ACE">
        <w:rPr>
          <w:rFonts w:ascii="Arial" w:hAnsi="Arial" w:cs="Arial"/>
        </w:rPr>
        <w:t>2.1 Odredbe za provođenje</w:t>
      </w:r>
    </w:p>
    <w:p w14:paraId="6541DF68" w14:textId="77777777" w:rsidR="000A7ACE" w:rsidRPr="000A7ACE" w:rsidRDefault="000A7ACE" w:rsidP="000A7ACE">
      <w:pPr>
        <w:tabs>
          <w:tab w:val="num" w:pos="1429"/>
        </w:tabs>
        <w:spacing w:after="0" w:line="240" w:lineRule="auto"/>
        <w:ind w:left="284"/>
        <w:rPr>
          <w:rFonts w:ascii="Arial" w:hAnsi="Arial" w:cs="Arial"/>
        </w:rPr>
      </w:pPr>
      <w:r w:rsidRPr="000A7ACE">
        <w:rPr>
          <w:rFonts w:ascii="Arial" w:hAnsi="Arial" w:cs="Arial"/>
        </w:rPr>
        <w:t>2.2 Obrazloženje</w:t>
      </w:r>
    </w:p>
    <w:p w14:paraId="2B2491B8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34F6F9C4" w14:textId="77777777" w:rsidR="000A7ACE" w:rsidRPr="000A7ACE" w:rsidRDefault="000A7ACE" w:rsidP="000A7ACE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>3. GRAFIČKI DIO</w:t>
      </w:r>
    </w:p>
    <w:tbl>
      <w:tblPr>
        <w:tblW w:w="4784" w:type="pct"/>
        <w:tblInd w:w="392" w:type="dxa"/>
        <w:tblLook w:val="04A0" w:firstRow="1" w:lastRow="0" w:firstColumn="1" w:lastColumn="0" w:noHBand="0" w:noVBand="1"/>
      </w:tblPr>
      <w:tblGrid>
        <w:gridCol w:w="625"/>
        <w:gridCol w:w="6854"/>
        <w:gridCol w:w="1201"/>
      </w:tblGrid>
      <w:tr w:rsidR="000A7ACE" w:rsidRPr="000A7ACE" w14:paraId="371F6375" w14:textId="77777777" w:rsidTr="000A7ACE">
        <w:tc>
          <w:tcPr>
            <w:tcW w:w="360" w:type="pct"/>
            <w:shd w:val="clear" w:color="auto" w:fill="auto"/>
          </w:tcPr>
          <w:p w14:paraId="01D89758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0.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D32B4DA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Prikaz obuhvata Izmjena i dopuna na izvodu iz kartografskog prikaza br. 1 „Korištenje i namjena površina“ važećeg UPU-a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D50FDA4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48E14B42" w14:textId="77777777" w:rsidTr="000A7ACE">
        <w:tc>
          <w:tcPr>
            <w:tcW w:w="360" w:type="pct"/>
            <w:shd w:val="clear" w:color="auto" w:fill="auto"/>
          </w:tcPr>
          <w:p w14:paraId="4A37420A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1.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44ED5EDC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Korištenje i namjena površina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5D06F8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1901968B" w14:textId="77777777" w:rsidTr="000A7ACE">
        <w:tc>
          <w:tcPr>
            <w:tcW w:w="360" w:type="pct"/>
            <w:shd w:val="clear" w:color="auto" w:fill="auto"/>
          </w:tcPr>
          <w:p w14:paraId="061103CA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55CB0392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Prometna, ulična i komunalna infrastrukturna mreža: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854D1CD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7ACE" w:rsidRPr="000A7ACE" w14:paraId="3D8E1B45" w14:textId="77777777" w:rsidTr="000A7ACE">
        <w:tc>
          <w:tcPr>
            <w:tcW w:w="360" w:type="pct"/>
            <w:shd w:val="clear" w:color="auto" w:fill="auto"/>
          </w:tcPr>
          <w:p w14:paraId="6CF909A4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2.1.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8F3CCCB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Prometna mreža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C045719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271BDDF9" w14:textId="77777777" w:rsidTr="000A7ACE">
        <w:tc>
          <w:tcPr>
            <w:tcW w:w="360" w:type="pct"/>
            <w:shd w:val="clear" w:color="auto" w:fill="auto"/>
          </w:tcPr>
          <w:p w14:paraId="0FB900F5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2.2.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47667724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Javna rasvjeta i elektroenergetska mreža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0F58C80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71F1385C" w14:textId="77777777" w:rsidTr="000A7ACE">
        <w:tc>
          <w:tcPr>
            <w:tcW w:w="360" w:type="pct"/>
            <w:shd w:val="clear" w:color="auto" w:fill="auto"/>
          </w:tcPr>
          <w:p w14:paraId="731F5A44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2.3.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14D6E77B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Telekomunikacijska mreža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37B0811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51EBE437" w14:textId="77777777" w:rsidTr="000A7ACE">
        <w:tc>
          <w:tcPr>
            <w:tcW w:w="360" w:type="pct"/>
            <w:shd w:val="clear" w:color="auto" w:fill="auto"/>
          </w:tcPr>
          <w:p w14:paraId="4E0C0680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2.4.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3E6237B0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Vodovodna mreža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8FF36F3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46398986" w14:textId="77777777" w:rsidTr="000A7ACE">
        <w:tc>
          <w:tcPr>
            <w:tcW w:w="360" w:type="pct"/>
            <w:shd w:val="clear" w:color="auto" w:fill="auto"/>
          </w:tcPr>
          <w:p w14:paraId="619EE6F3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2.5.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80ED15E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Kanalizacijska mreža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B82DBDD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62C46BA1" w14:textId="77777777" w:rsidTr="000A7ACE">
        <w:tc>
          <w:tcPr>
            <w:tcW w:w="360" w:type="pct"/>
            <w:shd w:val="clear" w:color="auto" w:fill="auto"/>
          </w:tcPr>
          <w:p w14:paraId="285DA429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3.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B6F8180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Uvjeti korištenja, uređenja i zaštite površina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FC7E5B6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  <w:tr w:rsidR="000A7ACE" w:rsidRPr="000A7ACE" w14:paraId="0B44C949" w14:textId="77777777" w:rsidTr="000A7ACE">
        <w:tc>
          <w:tcPr>
            <w:tcW w:w="360" w:type="pct"/>
            <w:shd w:val="clear" w:color="auto" w:fill="auto"/>
          </w:tcPr>
          <w:p w14:paraId="2461EAB6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4.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5B761F2F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Način i uvjeti gradnje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D972A76" w14:textId="77777777" w:rsidR="000A7ACE" w:rsidRPr="000A7ACE" w:rsidRDefault="000A7ACE" w:rsidP="00686A70">
            <w:pPr>
              <w:spacing w:after="0" w:line="240" w:lineRule="auto"/>
              <w:rPr>
                <w:rFonts w:ascii="Arial" w:hAnsi="Arial" w:cs="Arial"/>
              </w:rPr>
            </w:pPr>
            <w:r w:rsidRPr="000A7ACE">
              <w:rPr>
                <w:rFonts w:ascii="Arial" w:hAnsi="Arial" w:cs="Arial"/>
              </w:rPr>
              <w:t>M 1:2000</w:t>
            </w:r>
          </w:p>
        </w:tc>
      </w:tr>
    </w:tbl>
    <w:p w14:paraId="68EAB5E1" w14:textId="77777777" w:rsidR="000A7ACE" w:rsidRPr="000A7ACE" w:rsidRDefault="000A7ACE" w:rsidP="000A7ACE">
      <w:pPr>
        <w:spacing w:after="0" w:line="240" w:lineRule="auto"/>
        <w:ind w:left="284"/>
        <w:rPr>
          <w:rFonts w:ascii="Arial" w:hAnsi="Arial" w:cs="Arial"/>
          <w:sz w:val="20"/>
        </w:rPr>
      </w:pPr>
      <w:r w:rsidRPr="000A7ACE">
        <w:rPr>
          <w:rFonts w:ascii="Arial" w:hAnsi="Arial" w:cs="Arial"/>
          <w:sz w:val="20"/>
        </w:rPr>
        <w:t>* napomena: kartografski prikazi ispisani su samo za obuhvat izmjena i dopuna</w:t>
      </w:r>
    </w:p>
    <w:p w14:paraId="0F507A11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1D67A549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  <w:r w:rsidRPr="000A7ACE">
        <w:rPr>
          <w:rFonts w:ascii="Arial" w:hAnsi="Arial" w:cs="Arial"/>
        </w:rPr>
        <w:t xml:space="preserve">4. PRILOZI  </w:t>
      </w:r>
    </w:p>
    <w:p w14:paraId="2C3CA375" w14:textId="77777777" w:rsidR="000A7ACE" w:rsidRPr="000A7ACE" w:rsidRDefault="000A7ACE" w:rsidP="000A7AC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 xml:space="preserve">4.1. Zajednička Odluka o izradi Izmjena i dopuna Urbanističkog plana uređenja “Obalni </w:t>
      </w:r>
      <w:r w:rsidRPr="000A7ACE">
        <w:rPr>
          <w:rFonts w:ascii="Arial" w:hAnsi="Arial" w:cs="Arial"/>
        </w:rPr>
        <w:tab/>
        <w:t xml:space="preserve">dio od HC „LAV“ do naselja Mutogras“ i s tim u vezi  Izmjena i dopuna Prostornog </w:t>
      </w:r>
      <w:r w:rsidRPr="000A7ACE">
        <w:rPr>
          <w:rFonts w:ascii="Arial" w:hAnsi="Arial" w:cs="Arial"/>
        </w:rPr>
        <w:tab/>
        <w:t xml:space="preserve">plana uređenja Općine Podstrana za područje lučice u Svetom Martinu </w:t>
      </w:r>
      <w:r w:rsidRPr="000A7ACE">
        <w:rPr>
          <w:rFonts w:ascii="Arial" w:hAnsi="Arial" w:cs="Arial"/>
          <w:i/>
        </w:rPr>
        <w:t xml:space="preserve">(„Službeni </w:t>
      </w:r>
      <w:r w:rsidRPr="000A7ACE">
        <w:rPr>
          <w:rFonts w:ascii="Arial" w:hAnsi="Arial" w:cs="Arial"/>
          <w:i/>
        </w:rPr>
        <w:tab/>
        <w:t>glasnik Općine Podstrana“ broj 16/19)</w:t>
      </w:r>
    </w:p>
    <w:p w14:paraId="2D57935A" w14:textId="77777777" w:rsidR="000A7ACE" w:rsidRPr="000A7ACE" w:rsidRDefault="000A7ACE" w:rsidP="000A7AC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lastRenderedPageBreak/>
        <w:t>4.2. Suglasnost Ministarstva prostornoga uređenja, graditeljstva i državne imovine</w:t>
      </w:r>
    </w:p>
    <w:p w14:paraId="13BCA0FD" w14:textId="77777777" w:rsidR="000A7ACE" w:rsidRPr="000A7ACE" w:rsidRDefault="000A7ACE" w:rsidP="000A7ACE">
      <w:pPr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0A7ACE">
        <w:rPr>
          <w:rFonts w:ascii="Arial" w:hAnsi="Arial" w:cs="Arial"/>
        </w:rPr>
        <w:t xml:space="preserve">4.3. Odluka o donošenju Izmjena i dopuna Urbanističkog plana uređenja “Obalni dio od </w:t>
      </w:r>
      <w:r w:rsidRPr="000A7ACE">
        <w:rPr>
          <w:rFonts w:ascii="Arial" w:hAnsi="Arial" w:cs="Arial"/>
        </w:rPr>
        <w:tab/>
        <w:t xml:space="preserve">HC „LAV“ do naselja Mutogras“ </w:t>
      </w:r>
      <w:r w:rsidRPr="000A7ACE">
        <w:rPr>
          <w:rFonts w:ascii="Arial" w:hAnsi="Arial" w:cs="Arial"/>
          <w:i/>
        </w:rPr>
        <w:t>(Službeni glasnik Općine Podstrana broj __/__)</w:t>
      </w:r>
    </w:p>
    <w:p w14:paraId="4678D3B7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245EEA19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68479A05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>II. ODREDBE ZA PROVOĐENJE:</w:t>
      </w:r>
    </w:p>
    <w:p w14:paraId="2AA47759" w14:textId="77777777" w:rsidR="002758B6" w:rsidRDefault="002758B6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DECA2F6" w14:textId="0BBE9D48" w:rsidR="000A7ACE" w:rsidRPr="000A7ACE" w:rsidRDefault="000A7ACE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Članak 3.</w:t>
      </w:r>
    </w:p>
    <w:p w14:paraId="1A34757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8BDFC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(1) U članku 3., iza naslova „</w:t>
      </w:r>
      <w:r w:rsidRPr="000A7ACE">
        <w:rPr>
          <w:rFonts w:ascii="Arial" w:eastAsia="Times New Roman" w:hAnsi="Arial" w:cs="Arial"/>
          <w:b/>
          <w:lang w:eastAsia="hr-HR"/>
        </w:rPr>
        <w:t>Obalna šetnica (R2)</w:t>
      </w:r>
      <w:r w:rsidRPr="000A7ACE">
        <w:rPr>
          <w:rFonts w:ascii="Arial" w:eastAsia="Times New Roman" w:hAnsi="Arial" w:cs="Arial"/>
          <w:lang w:eastAsia="hr-HR"/>
        </w:rPr>
        <w:t xml:space="preserve">“, </w:t>
      </w:r>
    </w:p>
    <w:p w14:paraId="3614A4F1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na kraju prvog ulomka (nakon uspravnog nabrajanja) dodaju se rečenice: </w:t>
      </w:r>
    </w:p>
    <w:p w14:paraId="51088E9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"U obuhvatu sportske lučice i neposredne kontaktne zone moguća je izvedba drugačijeg poprečnog presjeka prema kartografskim prikazima Plana. Šetnica mora biti otvorena za komunikaciju pješaka, dostavnih vozila, hitne pomoći, vatrogasaca i slično, a u obuhvatu sportske lučice njezino javno korištenje mora biti osigurano kontinuirano od 0-24 sata."</w:t>
      </w:r>
    </w:p>
    <w:p w14:paraId="5053E770" w14:textId="77777777" w:rsidR="000A7ACE" w:rsidRPr="000A7ACE" w:rsidRDefault="000A7ACE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DE29BB0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(2) U članku 3., iza naslova „</w:t>
      </w:r>
      <w:r w:rsidRPr="000A7ACE">
        <w:rPr>
          <w:rFonts w:ascii="Arial" w:eastAsia="Times New Roman" w:hAnsi="Arial" w:cs="Arial"/>
          <w:b/>
          <w:lang w:eastAsia="hr-HR"/>
        </w:rPr>
        <w:t>PARKIRALIŠTE</w:t>
      </w:r>
      <w:r w:rsidRPr="000A7ACE">
        <w:rPr>
          <w:rFonts w:ascii="Arial" w:eastAsia="Times New Roman" w:hAnsi="Arial" w:cs="Arial"/>
          <w:lang w:eastAsia="hr-HR"/>
        </w:rPr>
        <w:t>“</w:t>
      </w:r>
      <w:r w:rsidRPr="000A7ACE">
        <w:rPr>
          <w:rFonts w:ascii="Arial" w:eastAsia="Times New Roman" w:hAnsi="Arial" w:cs="Arial"/>
          <w:b/>
          <w:lang w:eastAsia="hr-HR"/>
        </w:rPr>
        <w:t xml:space="preserve">, </w:t>
      </w:r>
    </w:p>
    <w:p w14:paraId="397B8D4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u šestoj rečenici broj 275 se mijenja brojem </w:t>
      </w:r>
      <w:r w:rsidRPr="000A7ACE">
        <w:rPr>
          <w:rFonts w:ascii="Arial" w:eastAsia="Times New Roman" w:hAnsi="Arial" w:cs="Arial"/>
          <w:i/>
          <w:lang w:eastAsia="hr-HR"/>
        </w:rPr>
        <w:t>137</w:t>
      </w:r>
      <w:r w:rsidRPr="000A7ACE">
        <w:rPr>
          <w:rFonts w:ascii="Arial" w:eastAsia="Times New Roman" w:hAnsi="Arial" w:cs="Arial"/>
          <w:lang w:eastAsia="hr-HR"/>
        </w:rPr>
        <w:t xml:space="preserve">, </w:t>
      </w:r>
    </w:p>
    <w:p w14:paraId="53E78434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iza prethodno navedene (šeste) rečenice se dodaje rečenica: </w:t>
      </w:r>
      <w:r w:rsidRPr="000A7ACE">
        <w:rPr>
          <w:rFonts w:ascii="Arial" w:eastAsia="Times New Roman" w:hAnsi="Arial" w:cs="Arial"/>
          <w:i/>
          <w:lang w:eastAsia="hr-HR"/>
        </w:rPr>
        <w:t>„Parkirališna cjelina od 137 pm je u obuhvatu sportske lučice“.</w:t>
      </w:r>
    </w:p>
    <w:p w14:paraId="73C7AD8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posljednja rečenica se mijenja i glasi: </w:t>
      </w:r>
      <w:r w:rsidRPr="000A7ACE">
        <w:rPr>
          <w:rFonts w:ascii="Arial" w:eastAsia="Times New Roman" w:hAnsi="Arial" w:cs="Arial"/>
          <w:i/>
          <w:lang w:eastAsia="hr-HR"/>
        </w:rPr>
        <w:t>„U zoni obuhvata UPU-a predviđa se minimalno 384 pm.“</w:t>
      </w:r>
    </w:p>
    <w:p w14:paraId="4E5A2BA7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49844D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(3) U članku 3., iza naslova „</w:t>
      </w:r>
      <w:r w:rsidRPr="000A7ACE">
        <w:rPr>
          <w:rFonts w:ascii="Arial" w:eastAsia="Times New Roman" w:hAnsi="Arial" w:cs="Arial"/>
          <w:b/>
          <w:lang w:eastAsia="hr-HR"/>
        </w:rPr>
        <w:t>Športska lučica (LS)</w:t>
      </w:r>
      <w:r w:rsidRPr="000A7ACE">
        <w:rPr>
          <w:rFonts w:ascii="Arial" w:eastAsia="Times New Roman" w:hAnsi="Arial" w:cs="Arial"/>
          <w:lang w:eastAsia="hr-HR"/>
        </w:rPr>
        <w:t xml:space="preserve">“, </w:t>
      </w:r>
    </w:p>
    <w:p w14:paraId="4365679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- u trećoj rečenici riječi "pratećeg objekta" se mijenjaju riječju "građevine",</w:t>
      </w:r>
    </w:p>
    <w:p w14:paraId="24451D19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četvrta rečenica mijenja se i glasi: "Max. </w:t>
      </w:r>
      <w:proofErr w:type="spellStart"/>
      <w:r w:rsidRPr="000A7ACE">
        <w:rPr>
          <w:rFonts w:ascii="Arial" w:eastAsia="Times New Roman" w:hAnsi="Arial" w:cs="Arial"/>
          <w:lang w:eastAsia="hr-HR"/>
        </w:rPr>
        <w:t>katnost</w:t>
      </w:r>
      <w:proofErr w:type="spellEnd"/>
      <w:r w:rsidRPr="000A7ACE">
        <w:rPr>
          <w:rFonts w:ascii="Arial" w:eastAsia="Times New Roman" w:hAnsi="Arial" w:cs="Arial"/>
          <w:lang w:eastAsia="hr-HR"/>
        </w:rPr>
        <w:t xml:space="preserve"> građevine u funkciji lučice je P+1K (</w:t>
      </w:r>
      <w:proofErr w:type="spellStart"/>
      <w:r w:rsidRPr="000A7ACE">
        <w:rPr>
          <w:rFonts w:ascii="Arial" w:eastAsia="Times New Roman" w:hAnsi="Arial" w:cs="Arial"/>
          <w:lang w:eastAsia="hr-HR"/>
        </w:rPr>
        <w:t>max</w:t>
      </w:r>
      <w:proofErr w:type="spellEnd"/>
      <w:r w:rsidRPr="000A7ACE">
        <w:rPr>
          <w:rFonts w:ascii="Arial" w:eastAsia="Times New Roman" w:hAnsi="Arial" w:cs="Arial"/>
          <w:lang w:eastAsia="hr-HR"/>
        </w:rPr>
        <w:t xml:space="preserve"> tlocrtna bruto površina je 400 m2)., </w:t>
      </w:r>
    </w:p>
    <w:p w14:paraId="0A7A15D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iza prethodno navedene (četvrte) rečenice se dodaje rečenica: </w:t>
      </w:r>
      <w:r w:rsidRPr="000A7ACE">
        <w:rPr>
          <w:rFonts w:ascii="Arial" w:eastAsia="Times New Roman" w:hAnsi="Arial" w:cs="Arial"/>
          <w:i/>
          <w:noProof/>
          <w:lang w:eastAsia="hr-HR"/>
        </w:rPr>
        <w:t>"</w:t>
      </w:r>
      <w:r w:rsidRPr="000A7ACE">
        <w:rPr>
          <w:rFonts w:ascii="Arial" w:hAnsi="Arial" w:cs="Arial"/>
          <w:i/>
        </w:rPr>
        <w:t xml:space="preserve">Unutar obuhvata sportske luke može se graditi </w:t>
      </w:r>
      <w:r w:rsidRPr="000A7ACE">
        <w:rPr>
          <w:rFonts w:ascii="Arial" w:hAnsi="Arial" w:cs="Arial"/>
          <w:i/>
          <w:noProof/>
        </w:rPr>
        <w:t>građevina pratećih sadržaja - za pružanje ugostiteljskih usluga (pića i napitaka), visine prizemlja (max. tlocrtna bruto površina je 50 m2)".</w:t>
      </w:r>
    </w:p>
    <w:p w14:paraId="08A5613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noProof/>
          <w:lang w:eastAsia="hr-HR"/>
        </w:rPr>
        <w:t>- u rečenici „</w:t>
      </w:r>
      <w:r w:rsidRPr="000A7ACE">
        <w:rPr>
          <w:rFonts w:ascii="Arial" w:eastAsia="Times New Roman" w:hAnsi="Arial" w:cs="Arial"/>
          <w:lang w:eastAsia="hr-HR"/>
        </w:rPr>
        <w:t>Na kartografskom prikazu br. 1 „Korištenje i namjena površina“ ucrtana je granica koncesije sportske luke“ briše se riječ "koncesije".</w:t>
      </w:r>
    </w:p>
    <w:p w14:paraId="4B8FD2C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95D490" w14:textId="77777777" w:rsidR="000A7ACE" w:rsidRPr="000A7ACE" w:rsidRDefault="000A7ACE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Članak 4.</w:t>
      </w:r>
    </w:p>
    <w:p w14:paraId="7A0881F5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6E988E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(1) U članku 8., iza naslova „</w:t>
      </w:r>
      <w:r w:rsidRPr="000A7ACE">
        <w:rPr>
          <w:rFonts w:ascii="Arial" w:eastAsia="Times New Roman" w:hAnsi="Arial" w:cs="Arial"/>
          <w:b/>
          <w:i/>
          <w:lang w:eastAsia="hr-HR"/>
        </w:rPr>
        <w:t>5.1. Uvjeti gradnje prometne mreže</w:t>
      </w:r>
      <w:r w:rsidRPr="000A7ACE">
        <w:rPr>
          <w:rFonts w:ascii="Arial" w:eastAsia="Times New Roman" w:hAnsi="Arial" w:cs="Arial"/>
          <w:i/>
          <w:lang w:eastAsia="hr-HR"/>
        </w:rPr>
        <w:t xml:space="preserve">“, </w:t>
      </w:r>
    </w:p>
    <w:p w14:paraId="34DF3F80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prvi ulomak se mijenja i glasi: </w:t>
      </w:r>
    </w:p>
    <w:p w14:paraId="7393E903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„Na području obuhvata UPU-a, cesta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nadmjesnog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značenja (državna cesta D-8), položena je rubno uz sjevernu granicu plana. Nalazi se izvan obuhvata plana, osim na potezu uz kopneni dio planirane  lučice u Svetom Martinu. Neposredni priključci parkirališta na državnu cestu nalaze se na lokaciji postojećih priključaka koji se rekonstruiraju. Plan ne predviđa zahvate koji bi imali utjecaja na postojeće stanje (građevinsko i prometno) državne ceste, osim planiranog  priključka zahvata sportske lučice u Svetom Martinu koji se mora projektirati u skladu s odredbama Pravilnika o uvjetima za projektiranje i izgradnju priključaka i prilaza na javnu cestu (NN broj 95/14) uz prethodno ishođene uvjete i suglasnost Hrvatskih cesta temeljem odredbi Zakona o cestama (NN broj 84/11, 22/13, 54/13, 148/13 i 92/14) za izvedbu priključka kao i za izgradnju i uređenje zahvata u zaštitnom pojasu državne ceste.“</w:t>
      </w:r>
    </w:p>
    <w:p w14:paraId="0C5F1E4A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3819BCA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(2) U članku 8., iza naslova </w:t>
      </w:r>
      <w:r w:rsidRPr="000A7ACE">
        <w:rPr>
          <w:rFonts w:ascii="Arial" w:eastAsia="Times New Roman" w:hAnsi="Arial" w:cs="Arial"/>
          <w:b/>
          <w:i/>
          <w:lang w:eastAsia="hr-HR"/>
        </w:rPr>
        <w:t>„5.1.1. Javna parkirališta i garaže</w:t>
      </w:r>
      <w:r w:rsidRPr="000A7ACE">
        <w:rPr>
          <w:rFonts w:ascii="Arial" w:eastAsia="Times New Roman" w:hAnsi="Arial" w:cs="Arial"/>
          <w:i/>
          <w:lang w:eastAsia="hr-HR"/>
        </w:rPr>
        <w:t>“</w:t>
      </w:r>
      <w:r w:rsidRPr="000A7ACE">
        <w:rPr>
          <w:rFonts w:ascii="Arial" w:eastAsia="Times New Roman" w:hAnsi="Arial" w:cs="Arial"/>
          <w:lang w:eastAsia="hr-HR"/>
        </w:rPr>
        <w:t>,</w:t>
      </w:r>
    </w:p>
    <w:p w14:paraId="4E66F5E2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-</w:t>
      </w:r>
      <w:r w:rsidRPr="000A7ACE">
        <w:rPr>
          <w:rFonts w:ascii="Arial" w:hAnsi="Arial" w:cs="Arial"/>
        </w:rPr>
        <w:t xml:space="preserve"> </w:t>
      </w:r>
      <w:r w:rsidRPr="000A7ACE">
        <w:rPr>
          <w:rFonts w:ascii="Arial" w:eastAsia="Times New Roman" w:hAnsi="Arial" w:cs="Arial"/>
          <w:lang w:eastAsia="hr-HR"/>
        </w:rPr>
        <w:t xml:space="preserve">u petoj rečenici broj 275 se mijenja brojem </w:t>
      </w:r>
      <w:r w:rsidRPr="000A7ACE">
        <w:rPr>
          <w:rFonts w:ascii="Arial" w:eastAsia="Times New Roman" w:hAnsi="Arial" w:cs="Arial"/>
          <w:i/>
          <w:lang w:eastAsia="hr-HR"/>
        </w:rPr>
        <w:t>137</w:t>
      </w:r>
      <w:r w:rsidRPr="000A7ACE">
        <w:rPr>
          <w:rFonts w:ascii="Arial" w:eastAsia="Times New Roman" w:hAnsi="Arial" w:cs="Arial"/>
          <w:lang w:eastAsia="hr-HR"/>
        </w:rPr>
        <w:t xml:space="preserve">, </w:t>
      </w:r>
    </w:p>
    <w:p w14:paraId="5EF3C72D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iza prethodno navedene (pete) rečenice se dodaje rečenica: </w:t>
      </w:r>
      <w:r w:rsidRPr="000A7ACE">
        <w:rPr>
          <w:rFonts w:ascii="Arial" w:eastAsia="Times New Roman" w:hAnsi="Arial" w:cs="Arial"/>
          <w:i/>
          <w:lang w:eastAsia="hr-HR"/>
        </w:rPr>
        <w:t>„Parkirališna cjelina od 137 pm je u obuhvatu sportske lučice“.</w:t>
      </w:r>
    </w:p>
    <w:p w14:paraId="492CEEA7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- posljednja rečenica se mijenja i glasi: „</w:t>
      </w:r>
      <w:r w:rsidRPr="000A7ACE">
        <w:rPr>
          <w:rFonts w:ascii="Arial" w:eastAsia="Times New Roman" w:hAnsi="Arial" w:cs="Arial"/>
          <w:i/>
          <w:lang w:eastAsia="hr-HR"/>
        </w:rPr>
        <w:t>U zoni obuhvata UPU-a predviđa se minimalno 384 pm.“</w:t>
      </w:r>
    </w:p>
    <w:p w14:paraId="5BCC4652" w14:textId="77777777" w:rsidR="000A7ACE" w:rsidRPr="000A7ACE" w:rsidRDefault="000A7ACE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B2A6D5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lastRenderedPageBreak/>
        <w:t xml:space="preserve">(3) U članku 8., iza naslova </w:t>
      </w:r>
      <w:r w:rsidRPr="000A7ACE">
        <w:rPr>
          <w:rFonts w:ascii="Arial" w:eastAsia="Times New Roman" w:hAnsi="Arial" w:cs="Arial"/>
          <w:b/>
          <w:i/>
          <w:lang w:eastAsia="hr-HR"/>
        </w:rPr>
        <w:t>„5.1.2. Trgovi i druge veće pješačke površine</w:t>
      </w:r>
      <w:r w:rsidRPr="000A7ACE">
        <w:rPr>
          <w:rFonts w:ascii="Arial" w:eastAsia="Times New Roman" w:hAnsi="Arial" w:cs="Arial"/>
          <w:i/>
          <w:lang w:eastAsia="hr-HR"/>
        </w:rPr>
        <w:t>“</w:t>
      </w:r>
      <w:r w:rsidRPr="000A7ACE">
        <w:rPr>
          <w:rFonts w:ascii="Arial" w:eastAsia="Times New Roman" w:hAnsi="Arial" w:cs="Arial"/>
          <w:lang w:eastAsia="hr-HR"/>
        </w:rPr>
        <w:t>,</w:t>
      </w:r>
      <w:r w:rsidRPr="000A7ACE">
        <w:rPr>
          <w:rFonts w:ascii="Arial" w:eastAsia="Times New Roman" w:hAnsi="Arial" w:cs="Arial"/>
          <w:b/>
          <w:i/>
          <w:lang w:eastAsia="hr-HR"/>
        </w:rPr>
        <w:t xml:space="preserve"> </w:t>
      </w:r>
    </w:p>
    <w:p w14:paraId="4EB71A8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b/>
          <w:i/>
          <w:lang w:eastAsia="hr-HR"/>
        </w:rPr>
        <w:t xml:space="preserve">- </w:t>
      </w:r>
      <w:r w:rsidRPr="000A7ACE">
        <w:rPr>
          <w:rFonts w:ascii="Arial" w:eastAsia="Times New Roman" w:hAnsi="Arial" w:cs="Arial"/>
          <w:lang w:eastAsia="hr-HR"/>
        </w:rPr>
        <w:t>briše se dio druge rečenice</w:t>
      </w:r>
      <w:r w:rsidRPr="000A7ACE">
        <w:rPr>
          <w:rFonts w:ascii="Arial" w:eastAsia="Times New Roman" w:hAnsi="Arial" w:cs="Arial"/>
          <w:b/>
          <w:i/>
          <w:lang w:eastAsia="hr-HR"/>
        </w:rPr>
        <w:t xml:space="preserve"> </w:t>
      </w:r>
      <w:r w:rsidRPr="000A7ACE">
        <w:rPr>
          <w:rFonts w:ascii="Arial" w:eastAsia="Times New Roman" w:hAnsi="Arial" w:cs="Arial"/>
          <w:lang w:eastAsia="hr-HR"/>
        </w:rPr>
        <w:t>(dio iza riječi „</w:t>
      </w:r>
      <w:proofErr w:type="spellStart"/>
      <w:r w:rsidRPr="000A7ACE">
        <w:rPr>
          <w:rFonts w:ascii="Arial" w:eastAsia="Times New Roman" w:hAnsi="Arial" w:cs="Arial"/>
          <w:lang w:eastAsia="hr-HR"/>
        </w:rPr>
        <w:t>dužobalne</w:t>
      </w:r>
      <w:proofErr w:type="spellEnd"/>
      <w:r w:rsidRPr="000A7ACE">
        <w:rPr>
          <w:rFonts w:ascii="Arial" w:eastAsia="Times New Roman" w:hAnsi="Arial" w:cs="Arial"/>
          <w:lang w:eastAsia="hr-HR"/>
        </w:rPr>
        <w:t xml:space="preserve"> šetnice“ se briše), tako da glasi:</w:t>
      </w:r>
      <w:r w:rsidRPr="000A7ACE">
        <w:rPr>
          <w:rFonts w:ascii="Arial" w:eastAsia="Times New Roman" w:hAnsi="Arial" w:cs="Arial"/>
          <w:b/>
          <w:i/>
          <w:lang w:eastAsia="hr-HR"/>
        </w:rPr>
        <w:t xml:space="preserve"> </w:t>
      </w:r>
      <w:r w:rsidRPr="000A7ACE">
        <w:rPr>
          <w:rFonts w:ascii="Arial" w:eastAsia="Times New Roman" w:hAnsi="Arial" w:cs="Arial"/>
          <w:i/>
          <w:lang w:eastAsia="hr-HR"/>
        </w:rPr>
        <w:t xml:space="preserve">„Osnovni koncept Plana temelji se na želji formiranja i planiranja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dužobalne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šetnice.“</w:t>
      </w:r>
    </w:p>
    <w:p w14:paraId="6182D057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 xml:space="preserve">- ispred zadnje rečenice predmetnog naslova dodaje se rečenica: </w:t>
      </w:r>
      <w:r w:rsidRPr="000A7ACE">
        <w:rPr>
          <w:rFonts w:ascii="Arial" w:eastAsia="Times New Roman" w:hAnsi="Arial" w:cs="Arial"/>
          <w:i/>
          <w:lang w:eastAsia="hr-HR"/>
        </w:rPr>
        <w:t>„U obuhvatu lučice u Svetom Martinu i kontaktnoj zoni je moguća i drugačija raspodjela i širina poprečnog profila šetnice.“</w:t>
      </w:r>
    </w:p>
    <w:p w14:paraId="727F8520" w14:textId="77777777" w:rsidR="000A7ACE" w:rsidRPr="000A7ACE" w:rsidRDefault="000A7ACE" w:rsidP="000A7A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230F91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Članak 5.</w:t>
      </w:r>
    </w:p>
    <w:p w14:paraId="5918F9BA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2E313C6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(1) U članku 16., točka 11.1 se mijenja i glasi:</w:t>
      </w:r>
    </w:p>
    <w:p w14:paraId="31E7CBA2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„Akti za gradnju</w:t>
      </w:r>
    </w:p>
    <w:p w14:paraId="247BDBD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dstrike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Za izvedbu zahvata u obuhvatu UPU-a se sukladno Zakonu o prostornom uređenju i Zakonu o gradnji ishode odgovarajući akti (lokacijske i/ili građevinske dozvole) kojima se odobrava gradnja ili rekonstrukcija.“</w:t>
      </w:r>
    </w:p>
    <w:p w14:paraId="3EAEC192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44C36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Članak 6.</w:t>
      </w:r>
    </w:p>
    <w:p w14:paraId="5609E7B7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550B3D62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(1) Dodaje se članak 17. i glasi:</w:t>
      </w:r>
    </w:p>
    <w:p w14:paraId="2B3EB3A4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7E68A8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„</w:t>
      </w:r>
      <w:r w:rsidRPr="000A7ACE">
        <w:rPr>
          <w:rFonts w:ascii="Arial" w:eastAsia="Times New Roman" w:hAnsi="Arial" w:cs="Arial"/>
          <w:b/>
          <w:i/>
          <w:lang w:eastAsia="hr-HR"/>
        </w:rPr>
        <w:t xml:space="preserve">12. </w:t>
      </w:r>
      <w:r w:rsidRPr="000A7ACE">
        <w:rPr>
          <w:rFonts w:ascii="Arial" w:eastAsia="Times New Roman" w:hAnsi="Arial" w:cs="Arial"/>
          <w:b/>
          <w:bCs/>
          <w:i/>
          <w:iCs/>
          <w:lang w:eastAsia="hr-HR" w:bidi="he-IL"/>
        </w:rPr>
        <w:t>Mjere zaštite od elementarnih nepogoda i ratnih opasnosti</w:t>
      </w:r>
      <w:r w:rsidRPr="000A7ACE">
        <w:rPr>
          <w:rFonts w:ascii="Arial" w:eastAsia="Times New Roman" w:hAnsi="Arial" w:cs="Arial"/>
          <w:b/>
          <w:i/>
          <w:lang w:eastAsia="hr-HR"/>
        </w:rPr>
        <w:t xml:space="preserve"> </w:t>
      </w:r>
    </w:p>
    <w:p w14:paraId="4F81B2D9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r-HR" w:bidi="he-IL"/>
        </w:rPr>
      </w:pPr>
    </w:p>
    <w:p w14:paraId="3DB7030D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0A7ACE">
        <w:rPr>
          <w:rFonts w:ascii="Arial" w:eastAsia="Times New Roman" w:hAnsi="Arial" w:cs="Arial"/>
          <w:b/>
          <w:bCs/>
          <w:i/>
          <w:iCs/>
          <w:lang w:eastAsia="hr-HR" w:bidi="he-IL"/>
        </w:rPr>
        <w:t>Zahtjevi zaštite i spašavanja</w:t>
      </w:r>
    </w:p>
    <w:p w14:paraId="30FCE9D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Zakon o sustavu civilne zaštite (NN 82/15, 118/18) propisuje da MUP, Ravnateljstvo civilne zaštite daje suglasnost jedinicama lokalne samouprave na planirane mjere zaštite i spašavanja u dokumentima prostornog uređenja i usklađenosti s procjenom rizika.</w:t>
      </w:r>
    </w:p>
    <w:p w14:paraId="71A4521E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Prema posebnim uvjetima za izradu ovog UPU-a, dostavljenim od nadležnog tijela, određeni su propisi i dokumenti iz područja civilne zaštite koji sadrže preventivne mjere čijom će se implementacijom u odredbe Plana umanjiti posljedice i učinci djelovanja prirodnih i tehničko tehnoloških katastrofa i velikih nesreća te povećati stupanj sigurnosti stanovništva, materijalnih dobara i okoliša:</w:t>
      </w:r>
    </w:p>
    <w:p w14:paraId="47EF47C0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Zakon o sustavu civilne zaštite ("Narodne novine" br. 82/15 i 118/18)</w:t>
      </w:r>
    </w:p>
    <w:p w14:paraId="41A07E85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mjerama zaštite od elementarnih nepogoda i ratnih opasnosti u prostornom planiranju i uređivanju prostora ("Narodne novine" br. 29/83, 36/85 i 42/86)</w:t>
      </w:r>
    </w:p>
    <w:p w14:paraId="45229220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nositeljima, sadržaju i postupcima izrade planskih dokumenata u civilnoj zaštiti te načinu informiranja javnosti u postupku njihovog donošenja („Narodne novine“ br. 49/17)</w:t>
      </w:r>
    </w:p>
    <w:p w14:paraId="5A4CBF59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postupku uzbunjivanja stanovništva ("Narodne novine" br. 69/16)</w:t>
      </w:r>
    </w:p>
    <w:p w14:paraId="4D559E7C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tehničkim zahtjevima sustava javnog uzbunjivanja stanovništva („Narodne novine“ br. 69/16)</w:t>
      </w:r>
    </w:p>
    <w:p w14:paraId="68ADDD20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Uredba o sprječavanju velikih nesreća koje uključuju opasne tvari ("Narodne novine" br. 44/14, 31/17)</w:t>
      </w:r>
    </w:p>
    <w:p w14:paraId="71090BE8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• Zakon o prostornom uređenju ("Narodne novine" br. 153/13, 65/17, 114/18  i 39/19) </w:t>
      </w:r>
    </w:p>
    <w:p w14:paraId="031ACA15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Zakon o zaštiti okoliša  ("Narodne novine" br. 80/13, 153/13 , 78/15), 12/18, 118/18).</w:t>
      </w:r>
    </w:p>
    <w:p w14:paraId="35C7326A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Procjena rizika od velikih nesreća za Općinu Podstrana.</w:t>
      </w:r>
    </w:p>
    <w:p w14:paraId="35E5DB7C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4E21FFC2" w14:textId="77777777" w:rsidR="000A7ACE" w:rsidRPr="000A7ACE" w:rsidRDefault="000A7ACE" w:rsidP="000A7AC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b/>
          <w:i/>
          <w:lang w:eastAsia="hr-HR"/>
        </w:rPr>
        <w:t>Mjere zaštite od požara</w:t>
      </w:r>
    </w:p>
    <w:p w14:paraId="095D9BE8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Ministarstvo unutarnjih poslova je dopisom Klasa 214-02/20-03/1050 od 28. veljače 2020. definiralo posebne uvjete za izradu Izmjena i dopuna UPU-a, koje se daju u nastavku teksta:</w:t>
      </w:r>
    </w:p>
    <w:p w14:paraId="6732D25E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Pri projektiranju mjera zaštite od požara, posebno voditi računa o: mogućnosti evakuacije i spašavanja  ljudi, životinja i imovine, sigurnosnim udaljenostima između građevina i njihovom požarnom odjeljivanju, osiguranju pristupa i operativnih površina za vatrogasna vozila, osiguranju dostatnih izvora vode za gašenje, uzimajući u obzir postojeća i nova naselja, građevine, postrojenja i prostore te njihova požarna opterećenja i zauzetost osobama.</w:t>
      </w:r>
    </w:p>
    <w:p w14:paraId="23BD5E1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Mjere zaštite od požara projektirati u skladu s pozitivnim hrvatskim i preuzetim propisima koji reguliraju ovu problematiku, a u dijelu propisa gdje ne postoje hrvatski propisi, koriste se priznate metode proračuna i modela.</w:t>
      </w:r>
    </w:p>
    <w:p w14:paraId="32CFF240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Posebnu pozornost obratiti na:</w:t>
      </w:r>
    </w:p>
    <w:p w14:paraId="6E8D3CD1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lastRenderedPageBreak/>
        <w:t>• Pravilnik o uvjetima za vatrogasne pristupe (NN br. 35/94, 142/03)</w:t>
      </w:r>
    </w:p>
    <w:p w14:paraId="3B630747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otpornosti na požar i drugim zahtjevima koje građevine moraju zadovoljavati u</w:t>
      </w:r>
    </w:p>
    <w:p w14:paraId="611AF141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  slučaju požara (NN 29/13 i 87/15)</w:t>
      </w:r>
    </w:p>
    <w:p w14:paraId="61A628D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Pravilnik o hidrantskoj mreži za gašenje požara (NN br. 08/06)</w:t>
      </w:r>
    </w:p>
    <w:p w14:paraId="3E7AE02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•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sprinkler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uređaj projektirati prema HRN EN 12845;2015</w:t>
      </w:r>
    </w:p>
    <w:p w14:paraId="0AF73781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trgovačke sadržaje projektirati u skladu s TRVB N 138, 2012 ili  NFPA 101 (izdanje 2018),</w:t>
      </w:r>
    </w:p>
    <w:p w14:paraId="49190DD4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marine projektirati sukladno NFPA 303, Izdanje 2016 ili CFPA-E No15:2012,</w:t>
      </w:r>
    </w:p>
    <w:p w14:paraId="6134602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luke otvorene za javni promet projektirati sukladno NFPA 307, 2016</w:t>
      </w:r>
    </w:p>
    <w:p w14:paraId="315A4FE0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u svrhu smanjenja opasnosti od zapaljenja građevine djelovanjem požara otvorenog prostora primijeniti odredbe NFPA 1144, Izdanje 2013, sustav prikupljanja i pročišćavanja otpadnih voda projektirati prema NFPA 820, 2016</w:t>
      </w:r>
    </w:p>
    <w:p w14:paraId="70B720A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• u slučaju da će se u objektima stavljati u promet, koristiti i skladištiti zapaljive tekućine i plinovi potrebno je postupiti sukladno odredbi članka 11. Zakona o zapaljivim tekućinama i plinovima (NN br. 108/95, 56/10).“</w:t>
      </w:r>
    </w:p>
    <w:p w14:paraId="3C6DD163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U slučaju da će se u objektima stavljati u promet, koristiti i skladištiti zapaljive tekućine i plinovi potrebno je postupiti sukladno odredbi članka 11. Zakona o zapaljivim tekućinama i plinovima (NN br. 108/95, 56/10).</w:t>
      </w:r>
    </w:p>
    <w:p w14:paraId="5C06878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018A013E" w14:textId="0019686B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b/>
          <w:i/>
          <w:lang w:eastAsia="hr-HR"/>
        </w:rPr>
        <w:t xml:space="preserve">Mjere zaštite od potresa </w:t>
      </w:r>
    </w:p>
    <w:p w14:paraId="265E47A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Protupotresno projektiranje građevina kao i njihovo građenje mora se provoditi sukladno važećim zakonima, tehničkim propisima i normama. Sve građevine u obuhvatu Plana moraju biti dimenzionirane sukladno podatku o kategoriji potresne zone. Prema važećim seizmičkim kartama područje obuhvaćeno UPU-om se nalazi u zoni intenziteta VIII stupnja MCS (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Mercalli-Cancani-Sieberg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>) ljestvice.</w:t>
      </w:r>
    </w:p>
    <w:p w14:paraId="09F0420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Prema Pravilniku o mjerama zaštite od elementarnih nepogoda i ratnih opasnosti u prostornom planiranju i uređivanju prostora (NN 29/83, 36/85 i 42/86), propisana je udaljenost između građevina i iznosi H1/2+H2/2+5m, a može biti manja ako se tehničkom dokumentacijom dokaže da u slučaju ratnih razaranja rušenje i građevine neće ugroziti živote ljudi i izazvati oštećenja na drugim objektima. </w:t>
      </w:r>
    </w:p>
    <w:p w14:paraId="61225395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7CED6A6E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b/>
          <w:i/>
          <w:lang w:eastAsia="hr-HR"/>
        </w:rPr>
        <w:t>Mjere sklanjanja</w:t>
      </w:r>
    </w:p>
    <w:p w14:paraId="3B190AAD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Mjere sklanjanja ljudi treba provoditi sukladno važećim propisima iz područja civilne zaštite, odnosno planovima djelovanja civilne zaštite. Sklanjanje ljudi osigurati izmještanjem korisnika u zoni, prilagođavanjem i prenamjenom pogodnih prostora za funkciju sklanjanja ljudi u zaklonima. </w:t>
      </w:r>
    </w:p>
    <w:p w14:paraId="4ABB6D7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1363F156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0A7ACE">
        <w:rPr>
          <w:rFonts w:ascii="Arial" w:eastAsia="Times New Roman" w:hAnsi="Arial" w:cs="Arial"/>
          <w:b/>
          <w:i/>
          <w:lang w:eastAsia="hr-HR"/>
        </w:rPr>
        <w:t>Mjere uzbunjivanja</w:t>
      </w:r>
    </w:p>
    <w:p w14:paraId="7C2E280F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Sukladno članku 39. Zakona o sustavu civilne zaštite, vlasnici i korisnici objekata u kojima se okuplja ili istodobno boravi više od 250 ljudi ili prostori  u kojima se zbog buke ili akustičke izolacije ne može osigurati dovoljna čujnost sustava za javno uzbunjivanje, dužni su uspostaviti i održavati odgovarajući interni sustav za uzbunjivanje i obavješćivanje te preko istog osigurati provedbu javnog uzbunjivanja i prijem priopćenja nadležnog centra 112 o vrsti opasnosti i mjerama za zaštitu koje je potrebno poduzeti. Vlasnici građevina dužni su, bez naknade, na zahtjev Državne uprave dopustiti postavljanje uređaja za uzbunjivanje građana i korištenje električne energije.“</w:t>
      </w:r>
    </w:p>
    <w:p w14:paraId="11C3D405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20A96E01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</w:rPr>
      </w:pPr>
      <w:r w:rsidRPr="000A7ACE">
        <w:rPr>
          <w:rFonts w:ascii="Arial" w:hAnsi="Arial" w:cs="Arial"/>
        </w:rPr>
        <w:t>Članak 7.</w:t>
      </w:r>
    </w:p>
    <w:p w14:paraId="1EEDD9F5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25CF4B52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A7ACE">
        <w:rPr>
          <w:rFonts w:ascii="Arial" w:eastAsia="Times New Roman" w:hAnsi="Arial" w:cs="Arial"/>
          <w:lang w:eastAsia="hr-HR"/>
        </w:rPr>
        <w:t>(1) Dodaje se članak 18. i glasi:</w:t>
      </w:r>
    </w:p>
    <w:p w14:paraId="1C894EED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5AA58E2C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„13. Mjere maritimne sigurnosti</w:t>
      </w:r>
    </w:p>
    <w:p w14:paraId="1C4C110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2D368B6B" w14:textId="77777777" w:rsidR="000A7ACE" w:rsidRPr="000A7ACE" w:rsidRDefault="000A7ACE" w:rsidP="000A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Prilikom projektiranja i korištenja luke potrebno je poštivati sljedeće mjere maritimne sigurnosti (sukladno relevantnim zaključcima maritimne studije „Mjere maritimne sigurnosti tijekom manevriranja i boravka plovila – športska lučica Sveti Martin – Podstrana“ koju je izradio Marko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lastRenderedPageBreak/>
        <w:t>Abram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, mag. ing.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aedif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>.):</w:t>
      </w:r>
    </w:p>
    <w:p w14:paraId="208F5918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Ulazak i izlazak brodova u/iz luke treba biti nadziran i vremenski usklađen.</w:t>
      </w:r>
    </w:p>
    <w:p w14:paraId="3659C3AA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Navigacijske oznake trebaju zadovoljavati potrebe sigurne plovidbe tijekom prilaza lučici danju i noću. Objekti sigurnosti plovidbe će biti određeni u skladu sa Rješenjem nadležne Lučke kapetanije (Lučka kapetanija Split) donesenim na temelju čl. 48. St. 2. Pravilnika o sustavu obilježavanja plovnih putova i objektima sigurnosti plovidbe (NN 39/2020).</w:t>
      </w:r>
    </w:p>
    <w:p w14:paraId="2CB41159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Na mjestu priveza valovi ne smiju ometati normalno odvijanje prometa. Konstrukciju lukobrana a i samu športsku luku potrebno je projektirati na način da se omogući siguran privez unutar luke u svim vremenskim uvjetima. Valovi brodova u prolazu neće bitno ometati boravak brodova na mjestu priveza.</w:t>
      </w:r>
    </w:p>
    <w:p w14:paraId="130A4CD7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Na vezovima u lučici vežu se plovila duljine do 12 m, brodovi se krmom vezuju za gatove a pramcem na „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kolpo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morta“.</w:t>
      </w:r>
    </w:p>
    <w:p w14:paraId="0D328EDA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Za pouzdano određivanje brzine vjetra valja koristiti anemometre koje valja postaviti na prikladnim mjestima na obali.</w:t>
      </w:r>
    </w:p>
    <w:p w14:paraId="679F0441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Manevriranje brodova je moguće je danju i noću, a u slučaju smanjene vidljivosti pristajanje odnosno isplovljivanje mora se izvoditi s posebnom pažnjom, a u slučaju horizontalne vidljivosti manje od 0,5 M valja zabraniti uplovljavanje i isplovljivanje.</w:t>
      </w:r>
    </w:p>
    <w:p w14:paraId="5A732141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Tijekom manevra priveza i odveza odnosno tijekom boravka broda na mjestu priveza slobodni prostor ispod kobilice na smije biti manji od 0,5 m.</w:t>
      </w:r>
    </w:p>
    <w:p w14:paraId="0DCFAD2F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Brzina prilaza luci u normalnim uvjetima ne bi trebala bi veća od 5 čvorova.</w:t>
      </w:r>
    </w:p>
    <w:p w14:paraId="73338D22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Bokobrani koji se nalaze na plovilima moraju biti takvi da njihova energija apsorpcije uz odgovarajući faktor sigurnosti, mora biti u stanju prihvatiti udarnu energiju.</w:t>
      </w:r>
    </w:p>
    <w:p w14:paraId="1BBA3FE0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proofErr w:type="spellStart"/>
      <w:r w:rsidRPr="000A7ACE">
        <w:rPr>
          <w:rFonts w:ascii="Arial" w:eastAsia="Times New Roman" w:hAnsi="Arial" w:cs="Arial"/>
          <w:i/>
          <w:lang w:eastAsia="hr-HR"/>
        </w:rPr>
        <w:t>Bitve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trebaju biti prekidne čvrstoće ne manje od određene proračunima uz uvjet da se na jednu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bitvu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ne privežu više od dva konopa.</w:t>
      </w:r>
    </w:p>
    <w:p w14:paraId="533124DA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Preporuča se imenovanje osobe zadužene za maritimnu sigurnost. Odgovorna osoba ujedno je važna za ostvarivanje međusobne koordinacije sa zapovjednicima brodova.</w:t>
      </w:r>
    </w:p>
    <w:p w14:paraId="1F5FAD0B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 xml:space="preserve">Preporuča se instaliranje sljedeće opreme kojom se mogu mjeriti i pratiti sljedeći parametri: brzina i smjer vjetra i morskih struja te visina valova, brzina prilaza broda obali, udaljenost od obale te kut prilaza obali tijekom svih faza manevra priveza, sile </w:t>
      </w:r>
      <w:proofErr w:type="spellStart"/>
      <w:r w:rsidRPr="000A7ACE">
        <w:rPr>
          <w:rFonts w:ascii="Arial" w:eastAsia="Times New Roman" w:hAnsi="Arial" w:cs="Arial"/>
          <w:i/>
          <w:lang w:eastAsia="hr-HR"/>
        </w:rPr>
        <w:t>priveznih</w:t>
      </w:r>
      <w:proofErr w:type="spellEnd"/>
      <w:r w:rsidRPr="000A7ACE">
        <w:rPr>
          <w:rFonts w:ascii="Arial" w:eastAsia="Times New Roman" w:hAnsi="Arial" w:cs="Arial"/>
          <w:i/>
          <w:lang w:eastAsia="hr-HR"/>
        </w:rPr>
        <w:t xml:space="preserve"> konopa te pomicanje broda na vezu.</w:t>
      </w:r>
    </w:p>
    <w:p w14:paraId="347E3D6A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Pored navedenih graničnih uvjeta te nakon stjecanja iskustva, ako se za to ukaže potreba, u suglasnosti s nadležnom Lučkom kapetanijom (Lučka Kapetanija Split), valja odrediti i druge mjere sigurnosti.</w:t>
      </w:r>
    </w:p>
    <w:p w14:paraId="6A06CABF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Razmatranje i eventualna promjena načina postupanja i graničnih uvjeta moguća je, uz suglasnost nadležne Lučke kapetanije (Lučka Kapetanija Split), i u svim drugim prilikama kada za to postoje opravdani razlozi.</w:t>
      </w:r>
    </w:p>
    <w:p w14:paraId="219CE6EB" w14:textId="77777777" w:rsidR="000A7ACE" w:rsidRPr="000A7ACE" w:rsidRDefault="000A7ACE" w:rsidP="000A7AC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0A7ACE">
        <w:rPr>
          <w:rFonts w:ascii="Arial" w:eastAsia="Times New Roman" w:hAnsi="Arial" w:cs="Arial"/>
          <w:i/>
          <w:lang w:eastAsia="hr-HR"/>
        </w:rPr>
        <w:t>U slučaju prihvata brodova veličina i obilježja (posebno manevarskih svojstava) različitih od pretpostavljenih u maritimnoj studiji, potrebno je ponovo razmotriti utjecajne čimbenike te odrediti granične uvjete za svaki pojedini slučaj na osnovu kojih se određuje da li se brod može vezati ili ne.“</w:t>
      </w:r>
    </w:p>
    <w:p w14:paraId="1B537D92" w14:textId="77777777" w:rsidR="000A7ACE" w:rsidRPr="000A7ACE" w:rsidRDefault="000A7ACE" w:rsidP="000A7ACE">
      <w:pPr>
        <w:spacing w:after="0" w:line="240" w:lineRule="auto"/>
        <w:rPr>
          <w:rFonts w:ascii="Arial" w:hAnsi="Arial" w:cs="Arial"/>
          <w:b/>
        </w:rPr>
      </w:pPr>
    </w:p>
    <w:p w14:paraId="6D05065B" w14:textId="77777777" w:rsidR="000A7ACE" w:rsidRPr="000A7ACE" w:rsidRDefault="000A7ACE" w:rsidP="000A7ACE">
      <w:pPr>
        <w:spacing w:after="0" w:line="240" w:lineRule="auto"/>
        <w:rPr>
          <w:rFonts w:ascii="Arial" w:hAnsi="Arial" w:cs="Arial"/>
          <w:b/>
        </w:rPr>
      </w:pPr>
    </w:p>
    <w:p w14:paraId="74D1B35D" w14:textId="77777777" w:rsidR="000A7ACE" w:rsidRPr="000A7ACE" w:rsidRDefault="000A7ACE" w:rsidP="000A7ACE">
      <w:pPr>
        <w:spacing w:after="0" w:line="240" w:lineRule="auto"/>
        <w:rPr>
          <w:rFonts w:ascii="Arial" w:hAnsi="Arial" w:cs="Arial"/>
          <w:b/>
        </w:rPr>
      </w:pPr>
      <w:r w:rsidRPr="000A7ACE">
        <w:rPr>
          <w:rFonts w:ascii="Arial" w:hAnsi="Arial" w:cs="Arial"/>
          <w:b/>
        </w:rPr>
        <w:t>III. PRIJELAZNE I ZAVRŠNE ODREDBE:</w:t>
      </w:r>
    </w:p>
    <w:p w14:paraId="2BDADC9D" w14:textId="77777777" w:rsidR="000A7ACE" w:rsidRPr="000A7ACE" w:rsidRDefault="000A7ACE" w:rsidP="000A7ACE">
      <w:pPr>
        <w:spacing w:after="0" w:line="240" w:lineRule="auto"/>
        <w:rPr>
          <w:rFonts w:ascii="Arial" w:hAnsi="Arial" w:cs="Arial"/>
          <w:color w:val="FF0000"/>
        </w:rPr>
      </w:pPr>
    </w:p>
    <w:p w14:paraId="064E472F" w14:textId="77777777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</w:rPr>
      </w:pPr>
      <w:r w:rsidRPr="000A7ACE">
        <w:rPr>
          <w:rFonts w:ascii="Arial" w:hAnsi="Arial" w:cs="Arial"/>
        </w:rPr>
        <w:t>Članak 8.</w:t>
      </w:r>
    </w:p>
    <w:p w14:paraId="040D88E1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1648D910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>(1) Elaborat Plana sačinjen je u pet izvornika. Ovjeren pečatom Općinskog vijeća Općine Podstrana i potpisom predsjednika Općinskog vijeća Općine Podstrana sastavni je dio ove Odluke.</w:t>
      </w:r>
    </w:p>
    <w:p w14:paraId="03BBEC92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5B6F4187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>(2) Plan je izrađen i na CD-</w:t>
      </w:r>
      <w:proofErr w:type="spellStart"/>
      <w:r w:rsidRPr="000A7ACE">
        <w:rPr>
          <w:rFonts w:ascii="Arial" w:hAnsi="Arial" w:cs="Arial"/>
        </w:rPr>
        <w:t>rom</w:t>
      </w:r>
      <w:proofErr w:type="spellEnd"/>
      <w:r w:rsidRPr="000A7ACE">
        <w:rPr>
          <w:rFonts w:ascii="Arial" w:hAnsi="Arial" w:cs="Arial"/>
        </w:rPr>
        <w:t xml:space="preserve"> mediju, u .</w:t>
      </w:r>
      <w:proofErr w:type="spellStart"/>
      <w:r w:rsidRPr="000A7ACE">
        <w:rPr>
          <w:rFonts w:ascii="Arial" w:hAnsi="Arial" w:cs="Arial"/>
        </w:rPr>
        <w:t>dwg</w:t>
      </w:r>
      <w:proofErr w:type="spellEnd"/>
      <w:r w:rsidRPr="000A7ACE">
        <w:rPr>
          <w:rFonts w:ascii="Arial" w:hAnsi="Arial" w:cs="Arial"/>
        </w:rPr>
        <w:t>, .</w:t>
      </w:r>
      <w:proofErr w:type="spellStart"/>
      <w:r w:rsidRPr="000A7ACE">
        <w:rPr>
          <w:rFonts w:ascii="Arial" w:hAnsi="Arial" w:cs="Arial"/>
        </w:rPr>
        <w:t>doc</w:t>
      </w:r>
      <w:proofErr w:type="spellEnd"/>
      <w:r w:rsidRPr="000A7ACE">
        <w:rPr>
          <w:rFonts w:ascii="Arial" w:hAnsi="Arial" w:cs="Arial"/>
        </w:rPr>
        <w:t xml:space="preserve"> i .pdf formatu.</w:t>
      </w:r>
    </w:p>
    <w:p w14:paraId="5631C37D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4E257E62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>(3) Uvid u izvornik elaborata Plana moguće je obaviti u Upravnom odjelu za prostorno uređenje, komunalne poslove i zaštitu okoliša Općine Podstrana.</w:t>
      </w:r>
    </w:p>
    <w:p w14:paraId="0F6E45A1" w14:textId="77777777" w:rsidR="000A7ACE" w:rsidRPr="000A7ACE" w:rsidRDefault="000A7ACE" w:rsidP="000A7ACE">
      <w:pPr>
        <w:spacing w:after="0" w:line="240" w:lineRule="auto"/>
        <w:rPr>
          <w:rFonts w:ascii="Arial" w:hAnsi="Arial" w:cs="Arial"/>
        </w:rPr>
      </w:pPr>
    </w:p>
    <w:p w14:paraId="1471E4AB" w14:textId="43409EFF" w:rsidR="000A7ACE" w:rsidRPr="000A7ACE" w:rsidRDefault="000A7ACE" w:rsidP="000A7ACE">
      <w:pPr>
        <w:spacing w:after="0" w:line="240" w:lineRule="auto"/>
        <w:jc w:val="center"/>
        <w:rPr>
          <w:rFonts w:ascii="Arial" w:hAnsi="Arial" w:cs="Arial"/>
        </w:rPr>
      </w:pPr>
      <w:r w:rsidRPr="000A7ACE">
        <w:rPr>
          <w:rFonts w:ascii="Arial" w:hAnsi="Arial" w:cs="Arial"/>
        </w:rPr>
        <w:lastRenderedPageBreak/>
        <w:t>Članak 9.</w:t>
      </w:r>
    </w:p>
    <w:p w14:paraId="705E29EB" w14:textId="77777777" w:rsidR="000A7ACE" w:rsidRPr="000A7ACE" w:rsidRDefault="000A7ACE" w:rsidP="000A7ACE">
      <w:pPr>
        <w:spacing w:after="0" w:line="120" w:lineRule="auto"/>
        <w:rPr>
          <w:rFonts w:ascii="Arial" w:hAnsi="Arial" w:cs="Arial"/>
        </w:rPr>
      </w:pPr>
    </w:p>
    <w:p w14:paraId="677B063E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>(1) Ova Odluka stupa na snagu osmog dana od dana objave u „Službenom glasniku Općine Podstrana“.</w:t>
      </w:r>
    </w:p>
    <w:p w14:paraId="75AB6BAF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4C4F1FBF" w14:textId="77777777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  <w:r w:rsidRPr="000A7ACE">
        <w:rPr>
          <w:rFonts w:ascii="Arial" w:hAnsi="Arial" w:cs="Arial"/>
        </w:rPr>
        <w:t>(2) Nakon stupanja na snagu Izmjena i dopuna UPU-a će se skladu s člankom 113. Zakona o prostornom uređenju objaviti pročišćeni tekst odredbi za provedbu i pročišćeni grafički dio Urbanističkog plana uređenja „Obalni dio od HC „LAV“ do naselja Mutogras“</w:t>
      </w:r>
    </w:p>
    <w:p w14:paraId="1281AFF1" w14:textId="77A3ECFA" w:rsidR="000A7ACE" w:rsidRDefault="000A7ACE" w:rsidP="000A7ACE">
      <w:pPr>
        <w:jc w:val="both"/>
        <w:rPr>
          <w:rFonts w:ascii="Arial" w:hAnsi="Arial" w:cs="Arial"/>
        </w:rPr>
      </w:pPr>
    </w:p>
    <w:p w14:paraId="66C73784" w14:textId="77777777" w:rsidR="005C6CA3" w:rsidRPr="00031089" w:rsidRDefault="005C6CA3" w:rsidP="000A7ACE">
      <w:pPr>
        <w:jc w:val="both"/>
        <w:rPr>
          <w:rFonts w:ascii="Arial" w:hAnsi="Arial" w:cs="Arial"/>
        </w:rPr>
      </w:pPr>
    </w:p>
    <w:p w14:paraId="039B486D" w14:textId="77777777" w:rsidR="005C6CA3" w:rsidRPr="005C6CA3" w:rsidRDefault="005C6CA3" w:rsidP="005C6CA3">
      <w:pPr>
        <w:spacing w:after="0" w:line="240" w:lineRule="auto"/>
        <w:jc w:val="both"/>
        <w:rPr>
          <w:rFonts w:ascii="Arial" w:hAnsi="Arial" w:cs="Arial"/>
        </w:rPr>
      </w:pPr>
      <w:bookmarkStart w:id="0" w:name="_Hlk89154910"/>
      <w:r w:rsidRPr="005C6CA3">
        <w:rPr>
          <w:rFonts w:ascii="Arial" w:hAnsi="Arial" w:cs="Arial"/>
        </w:rPr>
        <w:t>KLASA:   024-02/ 23-01/11</w:t>
      </w:r>
      <w:r w:rsidRPr="005C6CA3">
        <w:rPr>
          <w:rFonts w:ascii="Arial" w:hAnsi="Arial" w:cs="Arial"/>
        </w:rPr>
        <w:tab/>
      </w:r>
      <w:r w:rsidRPr="005C6CA3">
        <w:rPr>
          <w:rFonts w:ascii="Arial" w:hAnsi="Arial" w:cs="Arial"/>
        </w:rPr>
        <w:tab/>
        <w:t xml:space="preserve">                                               Predsjednik </w:t>
      </w:r>
    </w:p>
    <w:p w14:paraId="77362143" w14:textId="62F71F0F" w:rsidR="005C6CA3" w:rsidRPr="005C6CA3" w:rsidRDefault="005C6CA3" w:rsidP="005C6CA3">
      <w:pPr>
        <w:spacing w:after="0" w:line="240" w:lineRule="auto"/>
        <w:jc w:val="both"/>
        <w:rPr>
          <w:rFonts w:ascii="Arial" w:hAnsi="Arial" w:cs="Arial"/>
        </w:rPr>
      </w:pPr>
      <w:r w:rsidRPr="005C6CA3">
        <w:rPr>
          <w:rFonts w:ascii="Arial" w:hAnsi="Arial" w:cs="Arial"/>
        </w:rPr>
        <w:t xml:space="preserve">URBROJ: 2181-39-01-23-7  </w:t>
      </w:r>
      <w:r w:rsidRPr="005C6CA3">
        <w:rPr>
          <w:rFonts w:ascii="Arial" w:hAnsi="Arial" w:cs="Arial"/>
        </w:rPr>
        <w:tab/>
      </w:r>
      <w:r w:rsidRPr="005C6CA3">
        <w:rPr>
          <w:rFonts w:ascii="Arial" w:hAnsi="Arial" w:cs="Arial"/>
        </w:rPr>
        <w:tab/>
      </w:r>
      <w:r w:rsidRPr="005C6CA3">
        <w:rPr>
          <w:rFonts w:ascii="Arial" w:hAnsi="Arial" w:cs="Arial"/>
        </w:rPr>
        <w:tab/>
      </w:r>
      <w:r w:rsidRPr="005C6CA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CA3">
        <w:rPr>
          <w:rFonts w:ascii="Arial" w:hAnsi="Arial" w:cs="Arial"/>
        </w:rPr>
        <w:t>Općinskog vijeća:</w:t>
      </w:r>
    </w:p>
    <w:p w14:paraId="72A709DA" w14:textId="77777777" w:rsidR="005C6CA3" w:rsidRPr="005C6CA3" w:rsidRDefault="005C6CA3" w:rsidP="005C6CA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C6CA3">
        <w:rPr>
          <w:rFonts w:ascii="Arial" w:hAnsi="Arial" w:cs="Arial"/>
          <w:lang w:val="en-US"/>
        </w:rPr>
        <w:t xml:space="preserve">Podstrana, 27. </w:t>
      </w:r>
      <w:proofErr w:type="spellStart"/>
      <w:r w:rsidRPr="005C6CA3">
        <w:rPr>
          <w:rFonts w:ascii="Arial" w:hAnsi="Arial" w:cs="Arial"/>
          <w:lang w:val="en-US"/>
        </w:rPr>
        <w:t>veljače</w:t>
      </w:r>
      <w:proofErr w:type="spellEnd"/>
      <w:r w:rsidRPr="005C6CA3">
        <w:rPr>
          <w:rFonts w:ascii="Arial" w:hAnsi="Arial" w:cs="Arial"/>
          <w:lang w:val="en-US"/>
        </w:rPr>
        <w:t xml:space="preserve"> 2023. </w:t>
      </w:r>
      <w:proofErr w:type="spellStart"/>
      <w:r w:rsidRPr="005C6CA3">
        <w:rPr>
          <w:rFonts w:ascii="Arial" w:hAnsi="Arial" w:cs="Arial"/>
          <w:lang w:val="en-US"/>
        </w:rPr>
        <w:t>godine</w:t>
      </w:r>
      <w:proofErr w:type="spellEnd"/>
      <w:r w:rsidRPr="005C6CA3">
        <w:rPr>
          <w:rFonts w:ascii="Arial" w:hAnsi="Arial" w:cs="Arial"/>
          <w:lang w:val="en-US"/>
        </w:rPr>
        <w:t xml:space="preserve">                     </w:t>
      </w:r>
      <w:r w:rsidRPr="005C6CA3">
        <w:rPr>
          <w:rFonts w:ascii="Arial" w:hAnsi="Arial" w:cs="Arial"/>
          <w:lang w:val="en-US"/>
        </w:rPr>
        <w:tab/>
        <w:t xml:space="preserve">          </w:t>
      </w:r>
      <w:r w:rsidRPr="005C6CA3">
        <w:rPr>
          <w:rFonts w:ascii="Arial" w:hAnsi="Arial" w:cs="Arial"/>
          <w:lang w:val="en-US"/>
        </w:rPr>
        <w:tab/>
        <w:t xml:space="preserve">           Tomislav Buljan</w:t>
      </w:r>
      <w:bookmarkEnd w:id="0"/>
    </w:p>
    <w:p w14:paraId="0D31F14D" w14:textId="77777777" w:rsidR="005C6CA3" w:rsidRPr="005C6CA3" w:rsidRDefault="005C6CA3" w:rsidP="005C6CA3">
      <w:pPr>
        <w:spacing w:after="0" w:line="240" w:lineRule="auto"/>
        <w:jc w:val="both"/>
        <w:rPr>
          <w:rFonts w:ascii="Arial" w:hAnsi="Arial" w:cs="Arial"/>
        </w:rPr>
      </w:pPr>
    </w:p>
    <w:p w14:paraId="4CADD77B" w14:textId="77777777" w:rsidR="000A7ACE" w:rsidRPr="00031089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44305789" w14:textId="77777777" w:rsidR="000A7ACE" w:rsidRPr="00031089" w:rsidRDefault="000A7ACE" w:rsidP="000A7ACE">
      <w:pPr>
        <w:spacing w:after="0" w:line="240" w:lineRule="auto"/>
        <w:rPr>
          <w:rFonts w:ascii="Arial" w:hAnsi="Arial" w:cs="Arial"/>
        </w:rPr>
      </w:pPr>
    </w:p>
    <w:p w14:paraId="4C0CBC05" w14:textId="3D6F7337" w:rsidR="00BC3049" w:rsidRPr="00EE2AE9" w:rsidRDefault="00BC3049" w:rsidP="00EE2AE9">
      <w:pPr>
        <w:spacing w:after="0" w:line="240" w:lineRule="auto"/>
        <w:jc w:val="both"/>
        <w:rPr>
          <w:rFonts w:ascii="Arial" w:hAnsi="Arial" w:cs="Arial"/>
        </w:rPr>
      </w:pPr>
    </w:p>
    <w:sectPr w:rsidR="00BC3049" w:rsidRPr="00EE2A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8F"/>
    <w:multiLevelType w:val="hybridMultilevel"/>
    <w:tmpl w:val="FC98DE44"/>
    <w:lvl w:ilvl="0" w:tplc="154A2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94390A"/>
    <w:multiLevelType w:val="hybridMultilevel"/>
    <w:tmpl w:val="548E5318"/>
    <w:lvl w:ilvl="0" w:tplc="1BC2527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02C3"/>
    <w:multiLevelType w:val="hybridMultilevel"/>
    <w:tmpl w:val="2188AA70"/>
    <w:lvl w:ilvl="0" w:tplc="9088247A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2919">
    <w:abstractNumId w:val="2"/>
  </w:num>
  <w:num w:numId="2" w16cid:durableId="1743674070">
    <w:abstractNumId w:val="1"/>
  </w:num>
  <w:num w:numId="3" w16cid:durableId="72935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9"/>
    <w:rsid w:val="000A7ACE"/>
    <w:rsid w:val="000B7952"/>
    <w:rsid w:val="002758B6"/>
    <w:rsid w:val="005C6CA3"/>
    <w:rsid w:val="007D482E"/>
    <w:rsid w:val="00BC3049"/>
    <w:rsid w:val="00C87AD6"/>
    <w:rsid w:val="00CD47DD"/>
    <w:rsid w:val="00EE2AE9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E30"/>
  <w15:chartTrackingRefBased/>
  <w15:docId w15:val="{C8F6ADA2-B723-422C-95F4-C2C7578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7DD"/>
    <w:pPr>
      <w:ind w:left="720"/>
      <w:contextualSpacing/>
    </w:pPr>
  </w:style>
  <w:style w:type="table" w:styleId="Reetkatablice">
    <w:name w:val="Table Grid"/>
    <w:basedOn w:val="Obinatablica"/>
    <w:uiPriority w:val="59"/>
    <w:rsid w:val="000A7A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2568</Words>
  <Characters>14639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Ivica Tafra</cp:lastModifiedBy>
  <cp:revision>6</cp:revision>
  <cp:lastPrinted>2023-02-17T10:44:00Z</cp:lastPrinted>
  <dcterms:created xsi:type="dcterms:W3CDTF">2019-05-14T13:55:00Z</dcterms:created>
  <dcterms:modified xsi:type="dcterms:W3CDTF">2023-02-20T09:54:00Z</dcterms:modified>
</cp:coreProperties>
</file>