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D859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0" w:name="_Hlk508885375"/>
      <w:bookmarkStart w:id="1" w:name="OLE_LINK2"/>
    </w:p>
    <w:p w14:paraId="5C5B2CC1" w14:textId="2D8773D3" w:rsidR="002C400B" w:rsidRDefault="002C400B" w:rsidP="002C400B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r>
        <w:rPr>
          <w:iCs/>
          <w:lang w:val="hr-HR"/>
        </w:rPr>
        <w:t xml:space="preserve">Na temelju članka 40. Zakona o proračunu (Narodne novine broj </w:t>
      </w:r>
      <w:r>
        <w:rPr>
          <w:lang w:val="hr-HR"/>
        </w:rPr>
        <w:t>144/21</w:t>
      </w:r>
      <w:r>
        <w:rPr>
          <w:iCs/>
          <w:lang w:val="hr-HR"/>
        </w:rPr>
        <w:t xml:space="preserve">) i članka 31. Statuta Općine Podstrana (Službeni glasnik Općine Podstrana broj </w:t>
      </w:r>
      <w:r>
        <w:rPr>
          <w:lang w:val="hr-HR"/>
        </w:rPr>
        <w:t>7/21, 21/21</w:t>
      </w:r>
      <w:r>
        <w:rPr>
          <w:iCs/>
          <w:lang w:val="hr-HR"/>
        </w:rPr>
        <w:t xml:space="preserve">), Općinsko vijeće Općine Podstrana na </w:t>
      </w:r>
      <w:r w:rsidR="00245140">
        <w:rPr>
          <w:iCs/>
          <w:lang w:val="hr-HR"/>
        </w:rPr>
        <w:t>______________</w:t>
      </w:r>
      <w:r>
        <w:rPr>
          <w:iCs/>
          <w:lang w:val="hr-HR"/>
        </w:rPr>
        <w:t xml:space="preserve">, održanoj dana </w:t>
      </w:r>
      <w:r w:rsidR="00245140">
        <w:rPr>
          <w:iCs/>
          <w:lang w:val="hr-HR"/>
        </w:rPr>
        <w:t>_______________</w:t>
      </w:r>
      <w:r>
        <w:rPr>
          <w:iCs/>
          <w:lang w:val="hr-HR"/>
        </w:rPr>
        <w:t xml:space="preserve"> donosi</w:t>
      </w:r>
    </w:p>
    <w:p w14:paraId="52BF5BD1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2F833AA8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672AEE1B" w14:textId="564DCCBC" w:rsidR="00791237" w:rsidRPr="00E42377" w:rsidRDefault="00245140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proofErr w:type="spellStart"/>
      <w:r>
        <w:rPr>
          <w:b/>
          <w:bCs/>
          <w:iCs/>
          <w:sz w:val="32"/>
          <w:szCs w:val="32"/>
          <w:lang w:val="hr-HR" w:eastAsia="hr-HR"/>
        </w:rPr>
        <w:t>Prjedlog</w:t>
      </w:r>
      <w:proofErr w:type="spellEnd"/>
      <w:r>
        <w:rPr>
          <w:b/>
          <w:bCs/>
          <w:iCs/>
          <w:sz w:val="32"/>
          <w:szCs w:val="32"/>
          <w:lang w:val="hr-HR" w:eastAsia="hr-HR"/>
        </w:rPr>
        <w:t xml:space="preserve"> 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>Proračun</w:t>
      </w:r>
      <w:r>
        <w:rPr>
          <w:b/>
          <w:bCs/>
          <w:iCs/>
          <w:sz w:val="32"/>
          <w:szCs w:val="32"/>
          <w:lang w:val="hr-HR" w:eastAsia="hr-HR"/>
        </w:rPr>
        <w:t>a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 xml:space="preserve"> Općine Podstrana za 20</w:t>
      </w:r>
      <w:r w:rsidR="008473FB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CC044B">
        <w:rPr>
          <w:b/>
          <w:bCs/>
          <w:iCs/>
          <w:sz w:val="32"/>
          <w:szCs w:val="32"/>
          <w:lang w:val="hr-HR" w:eastAsia="hr-HR"/>
        </w:rPr>
        <w:t>3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p w14:paraId="74FD660F" w14:textId="1365C41C" w:rsidR="00E665D1" w:rsidRPr="00E42377" w:rsidRDefault="00791237" w:rsidP="001B7675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i projekcij</w:t>
      </w:r>
      <w:r w:rsidR="0091332E" w:rsidRPr="00E42377">
        <w:rPr>
          <w:b/>
          <w:bCs/>
          <w:iCs/>
          <w:sz w:val="32"/>
          <w:szCs w:val="32"/>
          <w:lang w:val="hr-HR" w:eastAsia="hr-HR"/>
        </w:rPr>
        <w:t>e</w:t>
      </w:r>
      <w:r w:rsidRPr="00E42377"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BE4945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CC044B">
        <w:rPr>
          <w:b/>
          <w:bCs/>
          <w:iCs/>
          <w:sz w:val="32"/>
          <w:szCs w:val="32"/>
          <w:lang w:val="hr-HR" w:eastAsia="hr-HR"/>
        </w:rPr>
        <w:t>4</w:t>
      </w:r>
      <w:r w:rsidRPr="00E42377">
        <w:rPr>
          <w:b/>
          <w:bCs/>
          <w:iCs/>
          <w:sz w:val="32"/>
          <w:szCs w:val="32"/>
          <w:lang w:val="hr-HR" w:eastAsia="hr-HR"/>
        </w:rPr>
        <w:t>. i 202</w:t>
      </w:r>
      <w:r w:rsidR="00CC044B">
        <w:rPr>
          <w:b/>
          <w:bCs/>
          <w:iCs/>
          <w:sz w:val="32"/>
          <w:szCs w:val="32"/>
          <w:lang w:val="hr-HR" w:eastAsia="hr-HR"/>
        </w:rPr>
        <w:t>5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0"/>
    <w:p w14:paraId="38414F00" w14:textId="77777777" w:rsidR="009B7C1E" w:rsidRPr="00E42377" w:rsidRDefault="009B7C1E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E42377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E42377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E42377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1.</w:t>
      </w:r>
    </w:p>
    <w:p w14:paraId="72674566" w14:textId="216DB284" w:rsidR="00E665D1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E42377">
        <w:rPr>
          <w:iCs/>
          <w:lang w:val="hr-HR"/>
        </w:rPr>
        <w:t xml:space="preserve">Proračun </w:t>
      </w:r>
      <w:r w:rsidR="002C6159" w:rsidRPr="00E42377">
        <w:rPr>
          <w:iCs/>
          <w:lang w:val="hr-HR"/>
        </w:rPr>
        <w:t>Općine</w:t>
      </w:r>
      <w:r w:rsidRPr="00E42377">
        <w:rPr>
          <w:iCs/>
          <w:lang w:val="hr-HR"/>
        </w:rPr>
        <w:t xml:space="preserve"> Podstrana za </w:t>
      </w:r>
      <w:r w:rsidR="00DD4E48" w:rsidRPr="00E42377">
        <w:rPr>
          <w:iCs/>
          <w:lang w:val="hr-HR"/>
        </w:rPr>
        <w:t>20</w:t>
      </w:r>
      <w:r w:rsidR="008473FB" w:rsidRPr="00E42377">
        <w:rPr>
          <w:iCs/>
          <w:lang w:val="hr-HR"/>
        </w:rPr>
        <w:t>2</w:t>
      </w:r>
      <w:r w:rsidR="00CC044B">
        <w:rPr>
          <w:iCs/>
          <w:lang w:val="hr-HR"/>
        </w:rPr>
        <w:t>3</w:t>
      </w:r>
      <w:r w:rsidR="00FD632F" w:rsidRPr="00E42377">
        <w:rPr>
          <w:iCs/>
          <w:lang w:val="hr-HR"/>
        </w:rPr>
        <w:t>.</w:t>
      </w:r>
      <w:r w:rsidRPr="00E42377">
        <w:rPr>
          <w:iCs/>
          <w:lang w:val="hr-HR"/>
        </w:rPr>
        <w:t xml:space="preserve"> godinu (u daljnjem tekstu „Proračun“)</w:t>
      </w:r>
      <w:r w:rsidR="007B560F" w:rsidRPr="00E42377">
        <w:rPr>
          <w:iCs/>
          <w:lang w:val="hr-HR"/>
        </w:rPr>
        <w:t xml:space="preserve"> </w:t>
      </w:r>
      <w:r w:rsidRPr="00E42377">
        <w:rPr>
          <w:iCs/>
          <w:lang w:val="hr-HR"/>
        </w:rPr>
        <w:t>sastoji se od:</w:t>
      </w:r>
    </w:p>
    <w:p w14:paraId="086628E1" w14:textId="523AF8AF" w:rsidR="008158F7" w:rsidRDefault="008158F7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W w:w="14793" w:type="dxa"/>
        <w:tblLayout w:type="fixed"/>
        <w:tblLook w:val="04A0" w:firstRow="1" w:lastRow="0" w:firstColumn="1" w:lastColumn="0" w:noHBand="0" w:noVBand="1"/>
      </w:tblPr>
      <w:tblGrid>
        <w:gridCol w:w="616"/>
        <w:gridCol w:w="3637"/>
        <w:gridCol w:w="1701"/>
        <w:gridCol w:w="1656"/>
        <w:gridCol w:w="1506"/>
        <w:gridCol w:w="1859"/>
        <w:gridCol w:w="1771"/>
        <w:gridCol w:w="1017"/>
        <w:gridCol w:w="1030"/>
      </w:tblGrid>
      <w:tr w:rsidR="000072DC" w14:paraId="71111CB6" w14:textId="77777777" w:rsidTr="00B20CF2">
        <w:trPr>
          <w:trHeight w:val="7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4074" w14:textId="77777777" w:rsidR="000072DC" w:rsidRDefault="000072DC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4116" w14:textId="77777777" w:rsidR="000072DC" w:rsidRPr="004C0850" w:rsidRDefault="000072DC" w:rsidP="000072DC">
            <w:pPr>
              <w:ind w:right="179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F6A516" w14:textId="77777777" w:rsidR="000072DC" w:rsidRPr="009B2E62" w:rsidRDefault="000072DC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5B95FD2C" w14:textId="5D551593" w:rsidR="000072DC" w:rsidRDefault="000072DC" w:rsidP="009B2E62">
            <w:pPr>
              <w:ind w:left="-255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2022.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C383" w14:textId="5F33A6E1" w:rsidR="000072DC" w:rsidRDefault="000072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2023. (KN)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12CE4" w14:textId="7251A1CE" w:rsidR="000072DC" w:rsidRDefault="000072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2023. (EUR)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F86C" w14:textId="77777777" w:rsidR="000072DC" w:rsidRDefault="000072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2024.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4005" w14:textId="77777777" w:rsidR="000072DC" w:rsidRDefault="000072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2025.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AD22A" w14:textId="77777777" w:rsidR="000072DC" w:rsidRDefault="000072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 4/3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D60A3" w14:textId="77777777" w:rsidR="000072DC" w:rsidRDefault="000072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5/4</w:t>
            </w:r>
          </w:p>
        </w:tc>
      </w:tr>
      <w:tr w:rsidR="000072DC" w:rsidRPr="002516BE" w14:paraId="26924421" w14:textId="77777777" w:rsidTr="00B20CF2">
        <w:trPr>
          <w:trHeight w:val="37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87679B" w14:textId="5A8D6F98" w:rsidR="000072DC" w:rsidRPr="008158F7" w:rsidRDefault="000072DC" w:rsidP="002E629C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A. </w:t>
            </w:r>
            <w:r w:rsidR="002E629C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Sažetak r</w:t>
            </w:r>
            <w:r w:rsidRPr="008158F7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ačun</w:t>
            </w:r>
            <w:r w:rsidR="002E629C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a</w:t>
            </w:r>
            <w:r w:rsidRPr="008158F7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3EA2BEE4" w14:textId="77777777" w:rsidR="000072DC" w:rsidRPr="008158F7" w:rsidRDefault="000072DC" w:rsidP="009B2E62">
            <w:pPr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9E77F4" w14:textId="241E6F5B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6CB2E5" w14:textId="77777777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17BA34" w14:textId="77777777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4F53E1" w14:textId="77777777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51A34C" w14:textId="77777777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F27C2B" w14:textId="77777777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</w:tr>
      <w:tr w:rsidR="000072DC" w14:paraId="52D57087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7CE7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9EBC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50B148" w14:textId="265F60EB" w:rsidR="000072DC" w:rsidRDefault="00747B35" w:rsidP="00747B35">
            <w:pPr>
              <w:ind w:left="-531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B20CF2">
              <w:rPr>
                <w:rFonts w:ascii="Calibri" w:hAnsi="Calibri" w:cs="Calibri"/>
                <w:sz w:val="22"/>
                <w:szCs w:val="22"/>
              </w:rPr>
              <w:t xml:space="preserve"> 68.557.500,00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4C98" w14:textId="70AB4493" w:rsidR="000072DC" w:rsidRDefault="00715F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70.051.495</w:t>
            </w:r>
            <w:r w:rsidR="000072DC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22D6" w14:textId="1FC22271" w:rsidR="000072DC" w:rsidRDefault="00715F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9.297.431,15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2762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9.506.335,20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CAEB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10.195.683,59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7E00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102,57%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9DAA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107,25%</w:t>
            </w:r>
          </w:p>
        </w:tc>
      </w:tr>
      <w:tr w:rsidR="000072DC" w14:paraId="0FFCD9D8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C8DA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3CEC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prodaje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nefinancijske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069AB5" w14:textId="5730EA92" w:rsidR="000072DC" w:rsidRDefault="009B2E62" w:rsidP="009B2E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20CF2">
              <w:rPr>
                <w:rFonts w:ascii="Calibri" w:hAnsi="Calibri" w:cs="Calibri"/>
                <w:sz w:val="22"/>
                <w:szCs w:val="22"/>
              </w:rPr>
              <w:t>60.111,00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E887" w14:textId="77ADDD10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3EC3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8FC3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0C47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AA80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0,00%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DEDF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0,00%</w:t>
            </w:r>
          </w:p>
        </w:tc>
      </w:tr>
      <w:tr w:rsidR="000072DC" w14:paraId="172FA184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3DFC39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01FEDB" w14:textId="77777777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9BBD2A5" w14:textId="4D9206C3" w:rsidR="000072DC" w:rsidRDefault="009B2E62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B20CF2">
              <w:rPr>
                <w:rFonts w:ascii="Calibri" w:hAnsi="Calibri" w:cs="Calibri"/>
                <w:b/>
                <w:bCs/>
                <w:sz w:val="22"/>
                <w:szCs w:val="22"/>
              </w:rPr>
              <w:t>68.617.611,00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9B03FC" w14:textId="24BA6F50" w:rsidR="000072DC" w:rsidRDefault="00715FC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70.051.495,00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F487A7" w14:textId="1815A0BB" w:rsidR="000072DC" w:rsidRDefault="00715FC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9.297.431,15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04F8D9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9.506.335,20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CB54E1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10.195.683,59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84107C" w14:textId="77777777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102,57%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79293B" w14:textId="77777777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107,25%</w:t>
            </w:r>
          </w:p>
        </w:tc>
      </w:tr>
      <w:tr w:rsidR="000072DC" w14:paraId="03E0142C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F9B5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436F" w14:textId="4C8E1644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  <w:r w:rsidR="00B20CF2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758FB5" w14:textId="4D0B6F9E" w:rsidR="000072DC" w:rsidRDefault="009B2E62" w:rsidP="009B2E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20CF2">
              <w:rPr>
                <w:rFonts w:ascii="Calibri" w:hAnsi="Calibri" w:cs="Calibri"/>
                <w:sz w:val="22"/>
                <w:szCs w:val="22"/>
              </w:rPr>
              <w:t>53.865.050,00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D963" w14:textId="5FA98C84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50.5</w:t>
            </w:r>
            <w:r w:rsidR="007B4462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6.188,87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5933" w14:textId="34F3AFEA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6.7</w:t>
            </w:r>
            <w:r w:rsidR="007B446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F30920">
              <w:rPr>
                <w:rFonts w:ascii="Calibri" w:hAnsi="Calibri" w:cs="Calibri"/>
                <w:sz w:val="22"/>
                <w:szCs w:val="22"/>
              </w:rPr>
              <w:t>.268,28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AFC7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6.378.713,92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2C41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6.098.934,24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D9D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95,12%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FC20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95,61%</w:t>
            </w:r>
          </w:p>
        </w:tc>
      </w:tr>
      <w:tr w:rsidR="000072DC" w14:paraId="26E9261A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8678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830F" w14:textId="77777777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6855ED" w14:textId="483D10A0" w:rsidR="000072DC" w:rsidRPr="000072DC" w:rsidRDefault="009B2E62" w:rsidP="009B2E62">
            <w:pPr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 </w:t>
            </w:r>
            <w:r w:rsidR="00B20CF2">
              <w:rPr>
                <w:rFonts w:ascii="Calibri" w:hAnsi="Calibri" w:cs="Calibri"/>
                <w:sz w:val="22"/>
                <w:szCs w:val="22"/>
                <w:lang w:val="it-IT"/>
              </w:rPr>
              <w:t>27.585.250,00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ABA4" w14:textId="4F73EA5C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42.</w:t>
            </w:r>
            <w:r w:rsidR="00CA221E">
              <w:rPr>
                <w:rFonts w:ascii="Calibri" w:hAnsi="Calibri" w:cs="Calibri"/>
                <w:sz w:val="22"/>
                <w:szCs w:val="22"/>
              </w:rPr>
              <w:t>377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CA221E">
              <w:rPr>
                <w:rFonts w:ascii="Calibri" w:hAnsi="Calibri" w:cs="Calibri"/>
                <w:sz w:val="22"/>
                <w:szCs w:val="22"/>
              </w:rPr>
              <w:t>844</w:t>
            </w:r>
            <w:r>
              <w:rPr>
                <w:rFonts w:ascii="Calibri" w:hAnsi="Calibri" w:cs="Calibri"/>
                <w:sz w:val="22"/>
                <w:szCs w:val="22"/>
              </w:rPr>
              <w:t>,50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A092" w14:textId="61C9CFD3" w:rsidR="000072DC" w:rsidRDefault="00CA22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5.624.506,54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F3C1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4.523.893,56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108D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4.267.074,92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B81C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80,86%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B734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94,32%</w:t>
            </w:r>
          </w:p>
        </w:tc>
      </w:tr>
      <w:tr w:rsidR="000072DC" w14:paraId="61C412CC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677DFF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599592" w14:textId="77777777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B5C18F3" w14:textId="4ED8CCC2" w:rsidR="000072DC" w:rsidRDefault="00B20CF2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81.450.300,00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CBFE7E" w14:textId="16010F48" w:rsidR="000072DC" w:rsidRDefault="00CA221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92.974.033,37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EF1CBD" w14:textId="2C83591B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</w:t>
            </w:r>
            <w:r w:rsidR="00CA221E">
              <w:rPr>
                <w:rFonts w:ascii="Calibri" w:hAnsi="Calibri" w:cs="Calibri"/>
                <w:b/>
                <w:bCs/>
                <w:sz w:val="22"/>
                <w:szCs w:val="22"/>
              </w:rPr>
              <w:t>339.774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F30920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2E46F8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10.902.607,47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5566E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10.366.009,16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B1BEF5" w14:textId="77777777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88,64%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F7A6BB" w14:textId="77777777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95,08%</w:t>
            </w:r>
          </w:p>
        </w:tc>
      </w:tr>
      <w:tr w:rsidR="000072DC" w14:paraId="5B00B348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120529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5CC2B2" w14:textId="77777777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29728679" w14:textId="7E6B8A3A" w:rsidR="000072DC" w:rsidRDefault="00B20CF2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-12.832.689,00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A60778" w14:textId="43F33646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715FC0">
              <w:rPr>
                <w:rFonts w:ascii="Calibri" w:hAnsi="Calibri" w:cs="Calibri"/>
                <w:b/>
                <w:bCs/>
                <w:sz w:val="22"/>
                <w:szCs w:val="22"/>
              </w:rPr>
              <w:t>22.922.538,37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797A82" w14:textId="13F8259C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715FC0">
              <w:rPr>
                <w:rFonts w:ascii="Calibri" w:hAnsi="Calibri" w:cs="Calibri"/>
                <w:b/>
                <w:bCs/>
                <w:sz w:val="22"/>
                <w:szCs w:val="22"/>
              </w:rPr>
              <w:t>3.042.343,67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5DA6FF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-1.396.272,27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C28FB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-170.325,57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1CDC54" w14:textId="77777777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46,05%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3D76BC" w14:textId="77777777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12,20%</w:t>
            </w:r>
          </w:p>
        </w:tc>
      </w:tr>
      <w:tr w:rsidR="000072DC" w14:paraId="77B95CB1" w14:textId="77777777" w:rsidTr="00B20CF2">
        <w:trPr>
          <w:trHeight w:val="37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8F6630" w14:textId="1D3BEF92" w:rsidR="000072DC" w:rsidRDefault="000072DC" w:rsidP="002E62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  <w:proofErr w:type="spellStart"/>
            <w:r w:rsidR="002E629C">
              <w:rPr>
                <w:rFonts w:ascii="Calibri" w:hAnsi="Calibri" w:cs="Calibri"/>
                <w:b/>
                <w:bCs/>
                <w:sz w:val="22"/>
                <w:szCs w:val="22"/>
              </w:rPr>
              <w:t>Sažetak</w:t>
            </w:r>
            <w:proofErr w:type="spellEnd"/>
            <w:r w:rsidR="002E62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E629C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ačun</w:t>
            </w:r>
            <w:r w:rsidR="002E629C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7873B717" w14:textId="77777777" w:rsidR="000072DC" w:rsidRDefault="000072DC" w:rsidP="009B2E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7501A8D" w14:textId="6B06A1A2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176845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07D8C2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13856F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F2D002" w14:textId="77777777" w:rsidR="000072DC" w:rsidRPr="00AE0B2B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22D103" w14:textId="77777777" w:rsidR="000072DC" w:rsidRPr="00AE0B2B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72DC" w14:paraId="2030E453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F521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AC28" w14:textId="77777777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5A0298" w14:textId="37573FD6" w:rsidR="00B20CF2" w:rsidRPr="000072DC" w:rsidRDefault="00B20CF2" w:rsidP="009B2E62">
            <w:pPr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   12.745.500,00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6B13" w14:textId="0A43D549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12.845.415,00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8AFF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1.704.879,55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4356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1.327.228,08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06E5" w14:textId="6157ADAA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5211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77,85%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059C" w14:textId="7BAE31D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0072DC" w14:paraId="0EBCFF01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15E7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F8EA" w14:textId="028C6A03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Izdaci za financijsku imovinu i otplate </w:t>
            </w:r>
            <w:r w:rsidR="00B20CF2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</w:t>
            </w:r>
            <w:r w:rsidRPr="008158F7">
              <w:rPr>
                <w:rFonts w:ascii="Calibri" w:hAnsi="Calibri" w:cs="Calibri"/>
                <w:sz w:val="22"/>
                <w:szCs w:val="22"/>
                <w:lang w:val="it-IT"/>
              </w:rPr>
              <w:t>zajmova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A67F96" w14:textId="24BDC0F4" w:rsidR="000072DC" w:rsidRDefault="00B20CF2" w:rsidP="009B2E62">
            <w:pPr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3.158.061,00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F31D" w14:textId="03228073" w:rsidR="000072DC" w:rsidRPr="008158F7" w:rsidRDefault="000072DC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                   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6BAA" w14:textId="77777777" w:rsidR="000072DC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2136" w14:textId="64E9C9F3" w:rsidR="000072DC" w:rsidRDefault="000072DC" w:rsidP="00CB27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0,00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0743" w14:textId="7403FCB1" w:rsidR="000072DC" w:rsidRDefault="00007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455F" w14:textId="77777777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0,00%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118C" w14:textId="5801FF8C" w:rsidR="000072DC" w:rsidRPr="00AE0B2B" w:rsidRDefault="000072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0072DC" w14:paraId="4272AFF7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F865C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22255B" w14:textId="77777777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6C1A2713" w14:textId="43D4B5C8" w:rsidR="000072DC" w:rsidRDefault="00B20CF2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9.587.439,00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FFD4CD" w14:textId="57798618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12.845.415,00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36D8E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1.704.879,55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DE9317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1.327.228,08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D9D2A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433CDB" w14:textId="77777777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77,85%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28D48" w14:textId="77777777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0,00%</w:t>
            </w:r>
          </w:p>
        </w:tc>
      </w:tr>
      <w:tr w:rsidR="000072DC" w14:paraId="5347B5F6" w14:textId="77777777" w:rsidTr="00B20CF2">
        <w:trPr>
          <w:trHeight w:val="37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6207BD" w14:textId="77777777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C.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Raspoloživa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prethodnih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55120770" w14:textId="43B2634A" w:rsidR="000072DC" w:rsidRDefault="000072DC" w:rsidP="009B2E6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CF9987" w14:textId="04EEB7E9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41AEE8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DFAC1B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DA7FFF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6D1A9A" w14:textId="77777777" w:rsidR="000072DC" w:rsidRPr="00AE0B2B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A24BEE" w14:textId="77777777" w:rsidR="000072DC" w:rsidRPr="00AE0B2B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r w:rsidRPr="00AE0B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72DC" w14:paraId="4D773956" w14:textId="77777777" w:rsidTr="00B20CF2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C89AB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DA1CCB" w14:textId="77777777" w:rsidR="000072DC" w:rsidRDefault="000072D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Višak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manjak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prethodne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2DCD8B05" w14:textId="339156AF" w:rsidR="000072DC" w:rsidRDefault="00BD3B0E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3.245.250</w:t>
            </w:r>
            <w:r w:rsidR="00B20CF2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8F7003" w14:textId="169EAFD4" w:rsidR="000072DC" w:rsidRDefault="00715FC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10.077.123,37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C90758" w14:textId="25861B7D" w:rsidR="000072DC" w:rsidRDefault="00715FC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1.337.464,11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2B9629" w14:textId="199EE8F2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              69.044,18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2C588B" w14:textId="7561DDE9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          170.325,57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4DA870" w14:textId="47553322" w:rsidR="000072DC" w:rsidRPr="00AE0B2B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5,20%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437F4C" w14:textId="35F685E4" w:rsidR="000072DC" w:rsidRPr="00AE0B2B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-</w:t>
            </w:r>
          </w:p>
        </w:tc>
      </w:tr>
      <w:tr w:rsidR="000072DC" w14:paraId="590FD505" w14:textId="77777777" w:rsidTr="00B20CF2">
        <w:trPr>
          <w:trHeight w:val="19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70F4" w14:textId="77777777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433E" w14:textId="77777777" w:rsidR="000072DC" w:rsidRDefault="00007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4FBEEC" w14:textId="77777777" w:rsidR="000072DC" w:rsidRDefault="000072DC" w:rsidP="009B2E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6C14" w14:textId="415B015A" w:rsidR="000072DC" w:rsidRDefault="000072DC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0AD6" w14:textId="77777777" w:rsidR="000072DC" w:rsidRDefault="000072DC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B033" w14:textId="77777777" w:rsidR="000072DC" w:rsidRDefault="000072D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6322" w14:textId="77777777" w:rsidR="000072DC" w:rsidRDefault="000072D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B139" w14:textId="77777777" w:rsidR="000072DC" w:rsidRPr="00AE0B2B" w:rsidRDefault="000072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8F14" w14:textId="77777777" w:rsidR="000072DC" w:rsidRPr="00AE0B2B" w:rsidRDefault="000072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2DC" w14:paraId="62A12CB5" w14:textId="77777777" w:rsidTr="00B20CF2">
        <w:trPr>
          <w:trHeight w:val="57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6C0A17" w14:textId="77777777" w:rsidR="000072DC" w:rsidRDefault="00007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CBF60F" w14:textId="77777777" w:rsidR="000072DC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Višak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Manjak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+ Neto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zaduživanja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Raspoloživa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prethodnih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3C097298" w14:textId="77777777" w:rsidR="000072DC" w:rsidRDefault="000072DC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67738E" w14:textId="77777777" w:rsidR="00F1192F" w:rsidRDefault="00F1192F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FA87D1" w14:textId="34E99987" w:rsidR="00F1192F" w:rsidRDefault="00F1192F" w:rsidP="009B2E6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AB9841" w14:textId="1D5C4CC9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FCEABA" w14:textId="77777777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7C5B7D1" w14:textId="4D7022EA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298306" w14:textId="5524CE7A" w:rsidR="000072DC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945C90" w14:textId="216D26CC" w:rsidR="000072DC" w:rsidRPr="00AE0B2B" w:rsidRDefault="000072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AFE2EB" w14:textId="77777777" w:rsidR="000072DC" w:rsidRPr="00AE0B2B" w:rsidRDefault="000072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0B2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14:paraId="3B632D36" w14:textId="132F3C17" w:rsidR="008158F7" w:rsidRDefault="002E629C" w:rsidP="002E629C">
      <w:pPr>
        <w:widowControl w:val="0"/>
        <w:tabs>
          <w:tab w:val="left" w:pos="984"/>
        </w:tabs>
        <w:autoSpaceDE w:val="0"/>
        <w:autoSpaceDN w:val="0"/>
        <w:adjustRightInd w:val="0"/>
        <w:rPr>
          <w:iCs/>
          <w:lang w:val="hr-HR"/>
        </w:rPr>
      </w:pPr>
      <w:r>
        <w:rPr>
          <w:iCs/>
          <w:lang w:val="hr-HR"/>
        </w:rPr>
        <w:tab/>
      </w:r>
    </w:p>
    <w:p w14:paraId="0DFC13AE" w14:textId="2A9BDBB7" w:rsidR="00023C13" w:rsidRDefault="00023C13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3848C596" w14:textId="5AD0D79E" w:rsidR="00E464CB" w:rsidRDefault="00E464CB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8ECB738" w14:textId="4C3DAB9F" w:rsidR="00E464CB" w:rsidRPr="00E464CB" w:rsidRDefault="00E464CB" w:rsidP="00E464CB">
      <w:pPr>
        <w:rPr>
          <w:lang w:val="hr-HR"/>
        </w:rPr>
      </w:pPr>
    </w:p>
    <w:p w14:paraId="74EDC927" w14:textId="614AC790" w:rsidR="00E464CB" w:rsidRPr="00E464CB" w:rsidRDefault="00E464CB" w:rsidP="00E464CB">
      <w:pPr>
        <w:rPr>
          <w:lang w:val="hr-HR"/>
        </w:rPr>
      </w:pPr>
    </w:p>
    <w:p w14:paraId="0CD6DCD2" w14:textId="29E22148" w:rsidR="00E464CB" w:rsidRPr="00E464CB" w:rsidRDefault="00E464CB" w:rsidP="00E464CB">
      <w:pPr>
        <w:rPr>
          <w:lang w:val="hr-HR"/>
        </w:rPr>
      </w:pPr>
    </w:p>
    <w:p w14:paraId="63239B73" w14:textId="680F71E0" w:rsidR="00E464CB" w:rsidRPr="00E464CB" w:rsidRDefault="00E464CB" w:rsidP="00E464CB">
      <w:pPr>
        <w:rPr>
          <w:lang w:val="hr-HR"/>
        </w:rPr>
      </w:pPr>
    </w:p>
    <w:p w14:paraId="33909C2E" w14:textId="4DC46993" w:rsidR="00E464CB" w:rsidRPr="00E464CB" w:rsidRDefault="00E464CB" w:rsidP="00E464CB">
      <w:pPr>
        <w:rPr>
          <w:lang w:val="hr-HR"/>
        </w:rPr>
      </w:pPr>
    </w:p>
    <w:p w14:paraId="03131694" w14:textId="0E55EE01" w:rsidR="00E464CB" w:rsidRPr="00E464CB" w:rsidRDefault="00E464CB" w:rsidP="00E464CB">
      <w:pPr>
        <w:rPr>
          <w:lang w:val="hr-HR"/>
        </w:rPr>
      </w:pPr>
    </w:p>
    <w:p w14:paraId="119865B9" w14:textId="1E832E05" w:rsidR="00E464CB" w:rsidRPr="00E464CB" w:rsidRDefault="00E464CB" w:rsidP="00E464CB">
      <w:pPr>
        <w:rPr>
          <w:lang w:val="hr-HR"/>
        </w:rPr>
      </w:pPr>
    </w:p>
    <w:p w14:paraId="2989380E" w14:textId="10383A72" w:rsidR="00E464CB" w:rsidRPr="00E464CB" w:rsidRDefault="00E464CB" w:rsidP="00E464CB">
      <w:pPr>
        <w:rPr>
          <w:lang w:val="hr-HR"/>
        </w:rPr>
      </w:pPr>
    </w:p>
    <w:p w14:paraId="5826D438" w14:textId="64A85A02" w:rsidR="00E464CB" w:rsidRPr="00E464CB" w:rsidRDefault="00E464CB" w:rsidP="00E464CB">
      <w:pPr>
        <w:rPr>
          <w:lang w:val="hr-HR"/>
        </w:rPr>
      </w:pPr>
    </w:p>
    <w:p w14:paraId="2991ED9F" w14:textId="5E55C001" w:rsidR="00E464CB" w:rsidRPr="00E464CB" w:rsidRDefault="00E464CB" w:rsidP="00E464CB">
      <w:pPr>
        <w:rPr>
          <w:lang w:val="hr-HR"/>
        </w:rPr>
      </w:pPr>
    </w:p>
    <w:p w14:paraId="1AB3DF00" w14:textId="017EC76A" w:rsidR="00E464CB" w:rsidRPr="00E464CB" w:rsidRDefault="00E464CB" w:rsidP="00E464CB">
      <w:pPr>
        <w:rPr>
          <w:lang w:val="hr-HR"/>
        </w:rPr>
      </w:pPr>
    </w:p>
    <w:p w14:paraId="77B4DAC3" w14:textId="70395FF4" w:rsidR="00E464CB" w:rsidRPr="00E464CB" w:rsidRDefault="00E464CB" w:rsidP="00E464CB">
      <w:pPr>
        <w:rPr>
          <w:lang w:val="hr-HR"/>
        </w:rPr>
      </w:pPr>
    </w:p>
    <w:p w14:paraId="6422F56C" w14:textId="2C2E0BB9" w:rsidR="00E464CB" w:rsidRPr="00E464CB" w:rsidRDefault="00E464CB" w:rsidP="00E464CB">
      <w:pPr>
        <w:rPr>
          <w:lang w:val="hr-HR"/>
        </w:rPr>
      </w:pPr>
    </w:p>
    <w:p w14:paraId="7D8489BA" w14:textId="60A49662" w:rsidR="00E464CB" w:rsidRPr="00E464CB" w:rsidRDefault="00E464CB" w:rsidP="00E464CB">
      <w:pPr>
        <w:rPr>
          <w:lang w:val="hr-HR"/>
        </w:rPr>
      </w:pPr>
    </w:p>
    <w:p w14:paraId="252A2A82" w14:textId="5DAD8F32" w:rsidR="00E464CB" w:rsidRPr="00E464CB" w:rsidRDefault="00E464CB" w:rsidP="00E464CB">
      <w:pPr>
        <w:rPr>
          <w:lang w:val="hr-HR"/>
        </w:rPr>
      </w:pPr>
    </w:p>
    <w:p w14:paraId="665B666D" w14:textId="5B7547B3" w:rsidR="00E464CB" w:rsidRPr="00E464CB" w:rsidRDefault="00E464CB" w:rsidP="00E464CB">
      <w:pPr>
        <w:rPr>
          <w:lang w:val="hr-HR"/>
        </w:rPr>
      </w:pPr>
    </w:p>
    <w:p w14:paraId="3D4C91A4" w14:textId="3D7C24D5" w:rsidR="00E464CB" w:rsidRPr="00E464CB" w:rsidRDefault="00E464CB" w:rsidP="00E464CB">
      <w:pPr>
        <w:rPr>
          <w:lang w:val="hr-HR"/>
        </w:rPr>
      </w:pPr>
    </w:p>
    <w:p w14:paraId="5E9DDA91" w14:textId="68D6C8B0" w:rsidR="00E464CB" w:rsidRPr="00E464CB" w:rsidRDefault="00E464CB" w:rsidP="00E464CB">
      <w:pPr>
        <w:rPr>
          <w:lang w:val="hr-HR"/>
        </w:rPr>
      </w:pPr>
    </w:p>
    <w:p w14:paraId="12DDE3E1" w14:textId="657BDD57" w:rsidR="00E464CB" w:rsidRPr="00E464CB" w:rsidRDefault="00E464CB" w:rsidP="00E464CB">
      <w:pPr>
        <w:rPr>
          <w:lang w:val="hr-HR"/>
        </w:rPr>
      </w:pPr>
    </w:p>
    <w:p w14:paraId="5BE7520F" w14:textId="5443E22A" w:rsidR="00E464CB" w:rsidRPr="00E464CB" w:rsidRDefault="00E464CB" w:rsidP="00E464CB">
      <w:pPr>
        <w:rPr>
          <w:lang w:val="hr-HR"/>
        </w:rPr>
      </w:pPr>
    </w:p>
    <w:p w14:paraId="4B48417F" w14:textId="2E056F9E" w:rsidR="00E464CB" w:rsidRPr="00E464CB" w:rsidRDefault="00E464CB" w:rsidP="00E464CB">
      <w:pPr>
        <w:rPr>
          <w:lang w:val="hr-HR"/>
        </w:rPr>
      </w:pPr>
    </w:p>
    <w:p w14:paraId="2197C902" w14:textId="57070593" w:rsidR="00E464CB" w:rsidRPr="00E464CB" w:rsidRDefault="00E464CB" w:rsidP="00E464CB">
      <w:pPr>
        <w:rPr>
          <w:lang w:val="hr-HR"/>
        </w:rPr>
      </w:pPr>
    </w:p>
    <w:p w14:paraId="436DCCEA" w14:textId="665B1827" w:rsidR="00E464CB" w:rsidRPr="00E464CB" w:rsidRDefault="00E464CB" w:rsidP="00E464CB">
      <w:pPr>
        <w:rPr>
          <w:lang w:val="hr-HR"/>
        </w:rPr>
      </w:pPr>
    </w:p>
    <w:p w14:paraId="4FBA86A1" w14:textId="41CBAEFF" w:rsidR="00E464CB" w:rsidRPr="00E464CB" w:rsidRDefault="00E464CB" w:rsidP="00E464CB">
      <w:pPr>
        <w:rPr>
          <w:lang w:val="hr-HR"/>
        </w:rPr>
      </w:pPr>
    </w:p>
    <w:p w14:paraId="3E0544AE" w14:textId="6B288B18" w:rsidR="00E464CB" w:rsidRPr="00E464CB" w:rsidRDefault="00E464CB" w:rsidP="00E464CB">
      <w:pPr>
        <w:rPr>
          <w:lang w:val="hr-HR"/>
        </w:rPr>
      </w:pPr>
    </w:p>
    <w:p w14:paraId="1AB1DE8A" w14:textId="34B30D61" w:rsidR="006860D9" w:rsidRDefault="006860D9" w:rsidP="00E464CB">
      <w:pPr>
        <w:rPr>
          <w:bCs/>
          <w:iCs/>
          <w:lang w:val="hr-HR"/>
        </w:rPr>
      </w:pPr>
    </w:p>
    <w:p w14:paraId="798BBBD1" w14:textId="46FE6097" w:rsidR="00E464CB" w:rsidRPr="006860D9" w:rsidRDefault="006860D9" w:rsidP="006860D9">
      <w:pPr>
        <w:rPr>
          <w:rFonts w:ascii="Calibri" w:hAnsi="Calibri" w:cs="Calibri"/>
          <w:lang w:val="hr-HR"/>
        </w:rPr>
      </w:pPr>
      <w:r w:rsidRPr="006860D9">
        <w:rPr>
          <w:rFonts w:ascii="Calibri" w:hAnsi="Calibri" w:cs="Calibri"/>
          <w:b/>
          <w:iCs/>
          <w:lang w:val="hr-HR"/>
        </w:rPr>
        <w:t>A. RAČUN PRIHODA I RASHODA</w:t>
      </w:r>
    </w:p>
    <w:tbl>
      <w:tblPr>
        <w:tblpPr w:leftFromText="180" w:rightFromText="180" w:vertAnchor="text" w:horzAnchor="margin" w:tblpY="442"/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075"/>
        <w:gridCol w:w="1576"/>
        <w:gridCol w:w="1619"/>
        <w:gridCol w:w="1370"/>
        <w:gridCol w:w="1268"/>
        <w:gridCol w:w="1305"/>
        <w:gridCol w:w="1185"/>
        <w:gridCol w:w="1185"/>
      </w:tblGrid>
      <w:tr w:rsidR="006860D9" w14:paraId="5690C255" w14:textId="77777777" w:rsidTr="005328A6">
        <w:trPr>
          <w:trHeight w:val="651"/>
        </w:trPr>
        <w:tc>
          <w:tcPr>
            <w:tcW w:w="574" w:type="dxa"/>
            <w:shd w:val="clear" w:color="000000" w:fill="BFBFBF"/>
          </w:tcPr>
          <w:p w14:paraId="25E51121" w14:textId="77777777" w:rsidR="006860D9" w:rsidRP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075" w:type="dxa"/>
            <w:shd w:val="clear" w:color="000000" w:fill="BFBFBF"/>
            <w:noWrap/>
            <w:vAlign w:val="center"/>
            <w:hideMark/>
          </w:tcPr>
          <w:p w14:paraId="274A509E" w14:textId="44EF282D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1576" w:type="dxa"/>
            <w:shd w:val="clear" w:color="000000" w:fill="BFBFBF"/>
          </w:tcPr>
          <w:p w14:paraId="50766CA0" w14:textId="77777777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A5ABBB" w14:textId="1FEC1117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2022.</w:t>
            </w:r>
          </w:p>
        </w:tc>
        <w:tc>
          <w:tcPr>
            <w:tcW w:w="1619" w:type="dxa"/>
            <w:shd w:val="clear" w:color="000000" w:fill="BFBFBF"/>
            <w:vAlign w:val="center"/>
            <w:hideMark/>
          </w:tcPr>
          <w:p w14:paraId="690381BB" w14:textId="562A9512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2023. (KN)</w:t>
            </w:r>
          </w:p>
        </w:tc>
        <w:tc>
          <w:tcPr>
            <w:tcW w:w="1370" w:type="dxa"/>
            <w:shd w:val="clear" w:color="000000" w:fill="BFBFBF"/>
          </w:tcPr>
          <w:p w14:paraId="64E0D7DC" w14:textId="77777777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148E70" w14:textId="7FDDDE44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PLAN  2023. (EUR)</w:t>
            </w:r>
          </w:p>
        </w:tc>
        <w:tc>
          <w:tcPr>
            <w:tcW w:w="1268" w:type="dxa"/>
            <w:shd w:val="clear" w:color="000000" w:fill="BFBFBF"/>
            <w:vAlign w:val="center"/>
            <w:hideMark/>
          </w:tcPr>
          <w:p w14:paraId="4694D5F3" w14:textId="03820C0A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2024.</w:t>
            </w:r>
          </w:p>
        </w:tc>
        <w:tc>
          <w:tcPr>
            <w:tcW w:w="1305" w:type="dxa"/>
            <w:shd w:val="clear" w:color="000000" w:fill="BFBFBF"/>
            <w:vAlign w:val="center"/>
            <w:hideMark/>
          </w:tcPr>
          <w:p w14:paraId="56E09E26" w14:textId="77777777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2025.</w:t>
            </w:r>
          </w:p>
        </w:tc>
        <w:tc>
          <w:tcPr>
            <w:tcW w:w="1185" w:type="dxa"/>
            <w:shd w:val="clear" w:color="000000" w:fill="BFBFBF"/>
            <w:vAlign w:val="center"/>
            <w:hideMark/>
          </w:tcPr>
          <w:p w14:paraId="021FED9A" w14:textId="77777777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2024/2023</w:t>
            </w:r>
          </w:p>
        </w:tc>
        <w:tc>
          <w:tcPr>
            <w:tcW w:w="1185" w:type="dxa"/>
            <w:shd w:val="clear" w:color="000000" w:fill="BFBFBF"/>
            <w:vAlign w:val="center"/>
            <w:hideMark/>
          </w:tcPr>
          <w:p w14:paraId="1DEADF99" w14:textId="77777777" w:rsidR="006860D9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2025/2024</w:t>
            </w:r>
          </w:p>
        </w:tc>
      </w:tr>
      <w:tr w:rsidR="006860D9" w14:paraId="138D97FE" w14:textId="77777777" w:rsidTr="005328A6">
        <w:trPr>
          <w:trHeight w:val="190"/>
        </w:trPr>
        <w:tc>
          <w:tcPr>
            <w:tcW w:w="574" w:type="dxa"/>
            <w:shd w:val="clear" w:color="000000" w:fill="538DD5"/>
          </w:tcPr>
          <w:p w14:paraId="1E051E8A" w14:textId="5A655838" w:rsidR="006860D9" w:rsidRDefault="00FF622E" w:rsidP="006860D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075" w:type="dxa"/>
            <w:shd w:val="clear" w:color="000000" w:fill="538DD5"/>
            <w:noWrap/>
            <w:vAlign w:val="center"/>
            <w:hideMark/>
          </w:tcPr>
          <w:p w14:paraId="0A7C07E1" w14:textId="5FCEDD1A" w:rsidR="006860D9" w:rsidRDefault="006860D9" w:rsidP="006860D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576" w:type="dxa"/>
            <w:shd w:val="clear" w:color="000000" w:fill="538DD5"/>
          </w:tcPr>
          <w:p w14:paraId="793C3170" w14:textId="196E9BC7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2422">
              <w:rPr>
                <w:rFonts w:ascii="Calibri" w:hAnsi="Calibri" w:cs="Calibri"/>
                <w:b/>
                <w:bCs/>
                <w:sz w:val="22"/>
                <w:szCs w:val="22"/>
              </w:rPr>
              <w:t>68.557.500,00</w:t>
            </w:r>
          </w:p>
        </w:tc>
        <w:tc>
          <w:tcPr>
            <w:tcW w:w="1619" w:type="dxa"/>
            <w:shd w:val="clear" w:color="000000" w:fill="538DD5"/>
            <w:vAlign w:val="center"/>
            <w:hideMark/>
          </w:tcPr>
          <w:p w14:paraId="534703C6" w14:textId="303F9C1F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70.051.495,00</w:t>
            </w:r>
          </w:p>
        </w:tc>
        <w:tc>
          <w:tcPr>
            <w:tcW w:w="1370" w:type="dxa"/>
            <w:shd w:val="clear" w:color="000000" w:fill="538DD5"/>
          </w:tcPr>
          <w:p w14:paraId="6C0ADCD7" w14:textId="0220259C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9.297.413</w:t>
            </w:r>
            <w:r w:rsidRPr="008624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68" w:type="dxa"/>
            <w:shd w:val="clear" w:color="000000" w:fill="538DD5"/>
            <w:hideMark/>
          </w:tcPr>
          <w:p w14:paraId="6668B63E" w14:textId="6A15DE3F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9.506.335 €</w:t>
            </w:r>
          </w:p>
        </w:tc>
        <w:tc>
          <w:tcPr>
            <w:tcW w:w="1305" w:type="dxa"/>
            <w:shd w:val="clear" w:color="000000" w:fill="538DD5"/>
            <w:hideMark/>
          </w:tcPr>
          <w:p w14:paraId="5A245744" w14:textId="23234CF7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379F">
              <w:rPr>
                <w:rFonts w:ascii="Calibri" w:hAnsi="Calibri" w:cs="Calibri"/>
                <w:b/>
                <w:bCs/>
                <w:sz w:val="22"/>
                <w:szCs w:val="22"/>
              </w:rPr>
              <w:t>10.195.684 €</w:t>
            </w:r>
          </w:p>
        </w:tc>
        <w:tc>
          <w:tcPr>
            <w:tcW w:w="1185" w:type="dxa"/>
            <w:shd w:val="clear" w:color="000000" w:fill="538DD5"/>
            <w:hideMark/>
          </w:tcPr>
          <w:p w14:paraId="3F34B760" w14:textId="7CB3A8E2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103%</w:t>
            </w:r>
          </w:p>
        </w:tc>
        <w:tc>
          <w:tcPr>
            <w:tcW w:w="1185" w:type="dxa"/>
            <w:shd w:val="clear" w:color="000000" w:fill="538DD5"/>
            <w:hideMark/>
          </w:tcPr>
          <w:p w14:paraId="646BB863" w14:textId="5180CECF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107%</w:t>
            </w:r>
          </w:p>
        </w:tc>
      </w:tr>
      <w:tr w:rsidR="006860D9" w14:paraId="5BAECAB1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2A0DCCB8" w14:textId="41730743" w:rsidR="006860D9" w:rsidRDefault="00C52770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3A0C9F93" w14:textId="457163C8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0D266B50" w14:textId="0B3CFE5C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35.878.500,00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11529C01" w14:textId="1541820A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37.955.000,00</w:t>
            </w:r>
          </w:p>
        </w:tc>
        <w:tc>
          <w:tcPr>
            <w:tcW w:w="1370" w:type="dxa"/>
            <w:shd w:val="clear" w:color="000000" w:fill="D9D9D9"/>
          </w:tcPr>
          <w:p w14:paraId="2B89D650" w14:textId="412FFFFB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5.037.494 €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29377E6C" w14:textId="55B8E570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5.053.421 €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50F9C794" w14:textId="36F8ABBD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5.053.421 €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196A6A82" w14:textId="44393ED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2284CCBA" w14:textId="4EA6312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6AE17E03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5EFF4DE3" w14:textId="60422EAF" w:rsidR="006860D9" w:rsidRDefault="00C52770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5BA2E14F" w14:textId="6E73793F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24D7F67C" w14:textId="08E2BD64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12.907.000,00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12AA7AF4" w14:textId="1DE9A3B5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2.495,00</w:t>
            </w:r>
          </w:p>
        </w:tc>
        <w:tc>
          <w:tcPr>
            <w:tcW w:w="1370" w:type="dxa"/>
            <w:shd w:val="clear" w:color="000000" w:fill="D9D9D9"/>
          </w:tcPr>
          <w:p w14:paraId="3D364A5A" w14:textId="68EA8B61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1.2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85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088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313BA1A8" w14:textId="048F9AD5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1.736.595 €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57B57AA7" w14:textId="672EE0CB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1.736.595 €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682F4397" w14:textId="13C58D57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138%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7840D969" w14:textId="5A3E97AF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457A4DAF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0A5A2C5E" w14:textId="015E0F51" w:rsidR="006860D9" w:rsidRDefault="00C52770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67AC3671" w14:textId="4898008E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050575B5" w14:textId="48B3C64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2.746.000,00</w:t>
            </w:r>
          </w:p>
        </w:tc>
        <w:tc>
          <w:tcPr>
            <w:tcW w:w="1619" w:type="dxa"/>
            <w:shd w:val="clear" w:color="000000" w:fill="D9D9D9"/>
            <w:vAlign w:val="center"/>
            <w:hideMark/>
          </w:tcPr>
          <w:p w14:paraId="54B188E8" w14:textId="0C17B84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4.041.000,00</w:t>
            </w:r>
          </w:p>
        </w:tc>
        <w:tc>
          <w:tcPr>
            <w:tcW w:w="1370" w:type="dxa"/>
            <w:shd w:val="clear" w:color="000000" w:fill="D9D9D9"/>
          </w:tcPr>
          <w:p w14:paraId="361D786D" w14:textId="526C46B7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536.333 €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39DE0FC9" w14:textId="18B09A16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521.733 €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17107441" w14:textId="2A940020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508.461 €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6D489A1B" w14:textId="00FC3073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D9D9D9"/>
            <w:hideMark/>
          </w:tcPr>
          <w:p w14:paraId="154CFC5E" w14:textId="29A60C06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6860D9" w14:paraId="7A4EEDC5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76C1A87D" w14:textId="59364575" w:rsidR="006860D9" w:rsidRPr="00023C13" w:rsidRDefault="00C52770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65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0002FA82" w14:textId="4064D163" w:rsidR="006860D9" w:rsidRPr="00023C13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22D46C46" w14:textId="509B26BE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15.767.500,00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0D510F18" w14:textId="3D81422C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17.123.000,00</w:t>
            </w:r>
          </w:p>
        </w:tc>
        <w:tc>
          <w:tcPr>
            <w:tcW w:w="1370" w:type="dxa"/>
            <w:shd w:val="clear" w:color="000000" w:fill="D9D9D9"/>
          </w:tcPr>
          <w:p w14:paraId="0F367354" w14:textId="1C9A64F1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2.272.613 €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79BCB23B" w14:textId="7E0E8D21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2.029.346 €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570E770B" w14:textId="3D1D873C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2.255.491 €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60F9BA3C" w14:textId="35D953BC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89%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676A7672" w14:textId="33B2CCD3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111%</w:t>
            </w:r>
          </w:p>
        </w:tc>
      </w:tr>
      <w:tr w:rsidR="006860D9" w14:paraId="7DD13B5C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3B3747B6" w14:textId="136008F3" w:rsidR="006860D9" w:rsidRPr="00023C13" w:rsidRDefault="00C52770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66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41049028" w14:textId="7E69C854" w:rsidR="006860D9" w:rsidRPr="00023C13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294B77E3" w14:textId="5E264C31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1.208.500,00</w:t>
            </w:r>
          </w:p>
        </w:tc>
        <w:tc>
          <w:tcPr>
            <w:tcW w:w="1619" w:type="dxa"/>
            <w:shd w:val="clear" w:color="000000" w:fill="D9D9D9"/>
            <w:vAlign w:val="center"/>
            <w:hideMark/>
          </w:tcPr>
          <w:p w14:paraId="671B3674" w14:textId="4A4A8E8C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1.185.000,00</w:t>
            </w:r>
          </w:p>
        </w:tc>
        <w:tc>
          <w:tcPr>
            <w:tcW w:w="1370" w:type="dxa"/>
            <w:shd w:val="clear" w:color="000000" w:fill="D9D9D9"/>
          </w:tcPr>
          <w:p w14:paraId="2943CAE4" w14:textId="0C64D2E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157.277 €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1A04FDDF" w14:textId="022809DD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157.277 €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4C8C25E8" w14:textId="3398C4B7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635.079 €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37972394" w14:textId="5CC29DB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3C3CA6A1" w14:textId="28DD95C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404%</w:t>
            </w:r>
          </w:p>
        </w:tc>
      </w:tr>
      <w:tr w:rsidR="006860D9" w14:paraId="6E3B6F81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31CF2618" w14:textId="5C697A17" w:rsidR="006860D9" w:rsidRPr="00023C13" w:rsidRDefault="00C52770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68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5EDF468F" w14:textId="52C6DB12" w:rsidR="006860D9" w:rsidRPr="00023C13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ostali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5AC7472C" w14:textId="089665FC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50.000,00</w:t>
            </w:r>
          </w:p>
        </w:tc>
        <w:tc>
          <w:tcPr>
            <w:tcW w:w="1619" w:type="dxa"/>
            <w:shd w:val="clear" w:color="000000" w:fill="D9D9D9"/>
            <w:vAlign w:val="center"/>
            <w:hideMark/>
          </w:tcPr>
          <w:p w14:paraId="36A2CBD1" w14:textId="4F430FF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370" w:type="dxa"/>
            <w:shd w:val="clear" w:color="000000" w:fill="D9D9D9"/>
          </w:tcPr>
          <w:p w14:paraId="1B939DCD" w14:textId="0F23925A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8.627 €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1E71F209" w14:textId="3EACAB3B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7.963 €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145F0655" w14:textId="7657E06A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6.636 €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1C82B429" w14:textId="303939C1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92%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5D465518" w14:textId="4D03D251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83%</w:t>
            </w:r>
          </w:p>
        </w:tc>
      </w:tr>
      <w:tr w:rsidR="006860D9" w14:paraId="124187EF" w14:textId="77777777" w:rsidTr="005328A6">
        <w:trPr>
          <w:trHeight w:val="190"/>
        </w:trPr>
        <w:tc>
          <w:tcPr>
            <w:tcW w:w="574" w:type="dxa"/>
            <w:shd w:val="clear" w:color="000000" w:fill="538DD5"/>
          </w:tcPr>
          <w:p w14:paraId="445BCF66" w14:textId="7CF6331B" w:rsidR="006860D9" w:rsidRDefault="00FF622E" w:rsidP="006860D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75" w:type="dxa"/>
            <w:shd w:val="clear" w:color="000000" w:fill="538DD5"/>
            <w:noWrap/>
            <w:vAlign w:val="center"/>
            <w:hideMark/>
          </w:tcPr>
          <w:p w14:paraId="79319661" w14:textId="72F5376A" w:rsidR="006860D9" w:rsidRDefault="006860D9" w:rsidP="006860D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576" w:type="dxa"/>
            <w:shd w:val="clear" w:color="000000" w:fill="538DD5"/>
          </w:tcPr>
          <w:p w14:paraId="354880C7" w14:textId="4A74448E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2422">
              <w:rPr>
                <w:rFonts w:ascii="Calibri" w:hAnsi="Calibri" w:cs="Calibri"/>
                <w:b/>
                <w:bCs/>
                <w:sz w:val="22"/>
                <w:szCs w:val="22"/>
              </w:rPr>
              <w:t>53.865.050,00</w:t>
            </w:r>
          </w:p>
        </w:tc>
        <w:tc>
          <w:tcPr>
            <w:tcW w:w="1619" w:type="dxa"/>
            <w:shd w:val="clear" w:color="000000" w:fill="538DD5"/>
            <w:vAlign w:val="center"/>
            <w:hideMark/>
          </w:tcPr>
          <w:p w14:paraId="7E630471" w14:textId="6712AB47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BF6">
              <w:rPr>
                <w:rFonts w:ascii="Calibri" w:hAnsi="Calibri" w:cs="Calibri"/>
                <w:b/>
                <w:bCs/>
                <w:sz w:val="22"/>
                <w:szCs w:val="22"/>
              </w:rPr>
              <w:t>50.679.188,87</w:t>
            </w:r>
          </w:p>
        </w:tc>
        <w:tc>
          <w:tcPr>
            <w:tcW w:w="1370" w:type="dxa"/>
            <w:shd w:val="clear" w:color="000000" w:fill="538DD5"/>
          </w:tcPr>
          <w:p w14:paraId="302425E6" w14:textId="3CA8FBD1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62D5">
              <w:rPr>
                <w:rFonts w:ascii="Calibri" w:hAnsi="Calibri" w:cs="Calibri"/>
                <w:b/>
                <w:bCs/>
                <w:sz w:val="22"/>
                <w:szCs w:val="22"/>
              </w:rPr>
              <w:t>6.726.284 €</w:t>
            </w:r>
          </w:p>
        </w:tc>
        <w:tc>
          <w:tcPr>
            <w:tcW w:w="1268" w:type="dxa"/>
            <w:shd w:val="clear" w:color="000000" w:fill="538DD5"/>
            <w:hideMark/>
          </w:tcPr>
          <w:p w14:paraId="37AE50F9" w14:textId="6E29E972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6.378.714 €</w:t>
            </w:r>
          </w:p>
        </w:tc>
        <w:tc>
          <w:tcPr>
            <w:tcW w:w="1305" w:type="dxa"/>
            <w:shd w:val="clear" w:color="000000" w:fill="538DD5"/>
            <w:hideMark/>
          </w:tcPr>
          <w:p w14:paraId="356525EB" w14:textId="259D3F63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379F">
              <w:rPr>
                <w:rFonts w:ascii="Calibri" w:hAnsi="Calibri" w:cs="Calibri"/>
                <w:b/>
                <w:bCs/>
                <w:sz w:val="22"/>
                <w:szCs w:val="22"/>
              </w:rPr>
              <w:t>6.098.934 €</w:t>
            </w:r>
          </w:p>
        </w:tc>
        <w:tc>
          <w:tcPr>
            <w:tcW w:w="1185" w:type="dxa"/>
            <w:shd w:val="clear" w:color="000000" w:fill="538DD5"/>
            <w:hideMark/>
          </w:tcPr>
          <w:p w14:paraId="046C6A76" w14:textId="203E9354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185" w:type="dxa"/>
            <w:shd w:val="clear" w:color="000000" w:fill="538DD5"/>
            <w:hideMark/>
          </w:tcPr>
          <w:p w14:paraId="4E3CEC49" w14:textId="6479569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96%</w:t>
            </w:r>
          </w:p>
        </w:tc>
      </w:tr>
      <w:tr w:rsidR="006860D9" w14:paraId="31517514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06E5FDA9" w14:textId="67EFD555" w:rsidR="006860D9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7708A660" w14:textId="1130597E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2C24FEE9" w14:textId="7B9B3606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9.622.250,00</w:t>
            </w:r>
          </w:p>
        </w:tc>
        <w:tc>
          <w:tcPr>
            <w:tcW w:w="1619" w:type="dxa"/>
            <w:shd w:val="clear" w:color="000000" w:fill="D9D9D9"/>
            <w:vAlign w:val="center"/>
            <w:hideMark/>
          </w:tcPr>
          <w:p w14:paraId="21E3A6D0" w14:textId="26AF7FD2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10.031.519,73</w:t>
            </w:r>
          </w:p>
        </w:tc>
        <w:tc>
          <w:tcPr>
            <w:tcW w:w="1370" w:type="dxa"/>
            <w:shd w:val="clear" w:color="000000" w:fill="D9D9D9"/>
          </w:tcPr>
          <w:p w14:paraId="179CF306" w14:textId="13DA60FC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35834FCE" w14:textId="30B5F85C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1.172.222 €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09996E4D" w14:textId="3113DBAC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1.172.222 €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5E2938FE" w14:textId="6D53D942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89%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6E7C4AE0" w14:textId="7CEAEF98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61E3E75D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1547DACF" w14:textId="59075FD4" w:rsidR="006860D9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1D0543EE" w14:textId="4040E96D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0D98E36B" w14:textId="7A3B9335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21.654.800,00</w:t>
            </w:r>
          </w:p>
        </w:tc>
        <w:tc>
          <w:tcPr>
            <w:tcW w:w="1619" w:type="dxa"/>
            <w:shd w:val="clear" w:color="000000" w:fill="D9D9D9"/>
            <w:vAlign w:val="center"/>
            <w:hideMark/>
          </w:tcPr>
          <w:p w14:paraId="6E0BB5C2" w14:textId="22540D8F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21.887.641,54</w:t>
            </w:r>
          </w:p>
        </w:tc>
        <w:tc>
          <w:tcPr>
            <w:tcW w:w="1370" w:type="dxa"/>
            <w:shd w:val="clear" w:color="000000" w:fill="D9D9D9"/>
          </w:tcPr>
          <w:p w14:paraId="299F6804" w14:textId="6F03CE2B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2.904.989 €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5248CB70" w14:textId="07AE625A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2.912.109 €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4DB15A2F" w14:textId="49E537CC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2.632.197 €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27DD9664" w14:textId="1C4D2D0E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7ADF4195" w14:textId="67487ABC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90%</w:t>
            </w:r>
          </w:p>
        </w:tc>
      </w:tr>
      <w:tr w:rsidR="006860D9" w14:paraId="04E28CA8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60023184" w14:textId="56A073BE" w:rsidR="006860D9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7F2FCCE6" w14:textId="00A1F35F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256F2856" w14:textId="24F62A58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619" w:type="dxa"/>
            <w:shd w:val="clear" w:color="000000" w:fill="D9D9D9"/>
            <w:vAlign w:val="center"/>
            <w:hideMark/>
          </w:tcPr>
          <w:p w14:paraId="67D485E5" w14:textId="3D5949C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218.027,60</w:t>
            </w:r>
          </w:p>
        </w:tc>
        <w:tc>
          <w:tcPr>
            <w:tcW w:w="1370" w:type="dxa"/>
            <w:shd w:val="clear" w:color="000000" w:fill="D9D9D9"/>
          </w:tcPr>
          <w:p w14:paraId="626B1006" w14:textId="7D26D1A4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28.937 €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5F218339" w14:textId="39C8397F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28.937 €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23B4042A" w14:textId="360FCB8F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28.937 €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4C108CA9" w14:textId="306F618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31F0FB39" w14:textId="07ACE70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357D58FF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5FD95BF6" w14:textId="6171C2A1" w:rsidR="006860D9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023ABF6F" w14:textId="4F328306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118570F8" w14:textId="103AB821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9.675.000,00</w:t>
            </w:r>
          </w:p>
        </w:tc>
        <w:tc>
          <w:tcPr>
            <w:tcW w:w="1619" w:type="dxa"/>
            <w:shd w:val="clear" w:color="000000" w:fill="D9D9D9"/>
            <w:vAlign w:val="center"/>
            <w:hideMark/>
          </w:tcPr>
          <w:p w14:paraId="22CEB3DB" w14:textId="346B401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9.450.000,00</w:t>
            </w:r>
          </w:p>
        </w:tc>
        <w:tc>
          <w:tcPr>
            <w:tcW w:w="1370" w:type="dxa"/>
            <w:shd w:val="clear" w:color="000000" w:fill="D9D9D9"/>
          </w:tcPr>
          <w:p w14:paraId="3A941FAE" w14:textId="64620F85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1.254.231 €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6ED6AAAE" w14:textId="657D08C3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1.121.508 €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3C5EC90D" w14:textId="1BF895DF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1.121.508 €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1B53CAAC" w14:textId="0A021B74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89%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7892DEE1" w14:textId="79760233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1FC06C68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009ADD96" w14:textId="31800891" w:rsidR="006860D9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24CC00D6" w14:textId="30A9E3F4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3993FF6D" w14:textId="632C6BFA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4.705.000,00</w:t>
            </w:r>
          </w:p>
        </w:tc>
        <w:tc>
          <w:tcPr>
            <w:tcW w:w="1619" w:type="dxa"/>
            <w:shd w:val="clear" w:color="000000" w:fill="D9D9D9"/>
            <w:vAlign w:val="center"/>
            <w:hideMark/>
          </w:tcPr>
          <w:p w14:paraId="4148CF2F" w14:textId="474B94B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319.000,00</w:t>
            </w:r>
          </w:p>
        </w:tc>
        <w:tc>
          <w:tcPr>
            <w:tcW w:w="1370" w:type="dxa"/>
            <w:shd w:val="clear" w:color="000000" w:fill="D9D9D9"/>
          </w:tcPr>
          <w:p w14:paraId="3699568A" w14:textId="3FA466B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42.339 €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214115D1" w14:textId="30CC78C0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42.339 €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58EEC14D" w14:textId="7A3D732F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42.339 €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5A7A80A9" w14:textId="7A957AF6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28A6BD7F" w14:textId="7FE20F5F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45A3214A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635EE322" w14:textId="73F9E6EA" w:rsidR="006860D9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340B9F42" w14:textId="50338414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01E8D2B8" w14:textId="788045A4" w:rsidR="006860D9" w:rsidRPr="00862422" w:rsidRDefault="006860D9" w:rsidP="00686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2.502.000,00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3CE979C6" w14:textId="5A030770" w:rsidR="006860D9" w:rsidRPr="009F22B3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22B3">
              <w:rPr>
                <w:rFonts w:ascii="Calibri" w:hAnsi="Calibri" w:cs="Calibri"/>
                <w:b/>
                <w:bCs/>
                <w:sz w:val="20"/>
                <w:szCs w:val="20"/>
              </w:rPr>
              <w:t>3.048.000,00</w:t>
            </w:r>
          </w:p>
        </w:tc>
        <w:tc>
          <w:tcPr>
            <w:tcW w:w="1370" w:type="dxa"/>
            <w:shd w:val="clear" w:color="000000" w:fill="D9D9D9"/>
          </w:tcPr>
          <w:p w14:paraId="298C9E53" w14:textId="5B1002D8" w:rsidR="006860D9" w:rsidRPr="009F22B3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22B3">
              <w:rPr>
                <w:rFonts w:ascii="Calibri" w:hAnsi="Calibri" w:cs="Calibri"/>
                <w:b/>
                <w:bCs/>
                <w:sz w:val="20"/>
                <w:szCs w:val="20"/>
              </w:rPr>
              <w:t>404.539 €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63F16FC1" w14:textId="73C2103E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380.251 €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40591C40" w14:textId="0DA99C41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380.251 €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359D94A0" w14:textId="7C917C4B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795B7BA3" w14:textId="43C6D4DF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4D916F56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0D6AEE25" w14:textId="4670A83A" w:rsidR="006860D9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1E40DE24" w14:textId="4A3C7BEC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0376F128" w14:textId="6ECD16AF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5.496.000,00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3996BEC8" w14:textId="0059393B" w:rsidR="006860D9" w:rsidRPr="009F22B3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22B3">
              <w:rPr>
                <w:rFonts w:ascii="Calibri" w:hAnsi="Calibri" w:cs="Calibri"/>
                <w:b/>
                <w:bCs/>
                <w:sz w:val="20"/>
                <w:szCs w:val="20"/>
              </w:rPr>
              <w:t>5.725.000,00</w:t>
            </w:r>
          </w:p>
        </w:tc>
        <w:tc>
          <w:tcPr>
            <w:tcW w:w="1370" w:type="dxa"/>
            <w:shd w:val="clear" w:color="000000" w:fill="D9D9D9"/>
          </w:tcPr>
          <w:p w14:paraId="0582FDBE" w14:textId="039EC74F" w:rsidR="006860D9" w:rsidRPr="009F22B3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22B3">
              <w:rPr>
                <w:rFonts w:ascii="Calibri" w:hAnsi="Calibri" w:cs="Calibri"/>
                <w:b/>
                <w:bCs/>
                <w:sz w:val="20"/>
                <w:szCs w:val="20"/>
              </w:rPr>
              <w:t>759.838 €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6721BEDE" w14:textId="5613B54A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721.348 €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14A43E0A" w14:textId="1D6EABDE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721.481 €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7BECD4FB" w14:textId="05AC30C5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96%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47B388BC" w14:textId="20BF2535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755B91C9" w14:textId="77777777" w:rsidTr="005328A6">
        <w:trPr>
          <w:trHeight w:val="190"/>
        </w:trPr>
        <w:tc>
          <w:tcPr>
            <w:tcW w:w="574" w:type="dxa"/>
            <w:shd w:val="clear" w:color="000000" w:fill="538DD5"/>
          </w:tcPr>
          <w:p w14:paraId="3372E440" w14:textId="09E83FDF" w:rsidR="006860D9" w:rsidRPr="00023C13" w:rsidRDefault="00FF622E" w:rsidP="006860D9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5075" w:type="dxa"/>
            <w:shd w:val="clear" w:color="000000" w:fill="538DD5"/>
            <w:noWrap/>
            <w:vAlign w:val="center"/>
            <w:hideMark/>
          </w:tcPr>
          <w:p w14:paraId="5F690451" w14:textId="5A3EBA03" w:rsidR="006860D9" w:rsidRPr="00023C13" w:rsidRDefault="006860D9" w:rsidP="006860D9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576" w:type="dxa"/>
            <w:shd w:val="clear" w:color="000000" w:fill="538DD5"/>
          </w:tcPr>
          <w:p w14:paraId="1062CC95" w14:textId="3865DA24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86242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27.585.250,00</w:t>
            </w:r>
          </w:p>
        </w:tc>
        <w:tc>
          <w:tcPr>
            <w:tcW w:w="1619" w:type="dxa"/>
            <w:shd w:val="clear" w:color="000000" w:fill="538DD5"/>
            <w:hideMark/>
          </w:tcPr>
          <w:p w14:paraId="5AD77B9B" w14:textId="631CD0B6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BF6">
              <w:rPr>
                <w:rFonts w:ascii="Calibri" w:hAnsi="Calibri" w:cs="Calibri"/>
                <w:b/>
                <w:bCs/>
                <w:sz w:val="22"/>
                <w:szCs w:val="22"/>
              </w:rPr>
              <w:t>42.294.844,50</w:t>
            </w:r>
          </w:p>
        </w:tc>
        <w:tc>
          <w:tcPr>
            <w:tcW w:w="1370" w:type="dxa"/>
            <w:shd w:val="clear" w:color="000000" w:fill="538DD5"/>
          </w:tcPr>
          <w:p w14:paraId="62EDCDC5" w14:textId="19BFD852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5.613.491</w:t>
            </w:r>
            <w:r w:rsidRPr="008624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68" w:type="dxa"/>
            <w:shd w:val="clear" w:color="000000" w:fill="538DD5"/>
            <w:hideMark/>
          </w:tcPr>
          <w:p w14:paraId="17ADBD88" w14:textId="30D0B2A2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4.523.894 €</w:t>
            </w:r>
          </w:p>
        </w:tc>
        <w:tc>
          <w:tcPr>
            <w:tcW w:w="1305" w:type="dxa"/>
            <w:shd w:val="clear" w:color="000000" w:fill="538DD5"/>
            <w:hideMark/>
          </w:tcPr>
          <w:p w14:paraId="7F4CC42C" w14:textId="32D796E0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379F">
              <w:rPr>
                <w:rFonts w:ascii="Calibri" w:hAnsi="Calibri" w:cs="Calibri"/>
                <w:b/>
                <w:bCs/>
                <w:sz w:val="22"/>
                <w:szCs w:val="22"/>
              </w:rPr>
              <w:t>4.267.075 €</w:t>
            </w:r>
          </w:p>
        </w:tc>
        <w:tc>
          <w:tcPr>
            <w:tcW w:w="1185" w:type="dxa"/>
            <w:shd w:val="clear" w:color="000000" w:fill="538DD5"/>
            <w:hideMark/>
          </w:tcPr>
          <w:p w14:paraId="3F0ECDE9" w14:textId="71D8736E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81%</w:t>
            </w:r>
          </w:p>
        </w:tc>
        <w:tc>
          <w:tcPr>
            <w:tcW w:w="1185" w:type="dxa"/>
            <w:shd w:val="clear" w:color="000000" w:fill="538DD5"/>
            <w:hideMark/>
          </w:tcPr>
          <w:p w14:paraId="35FE3C49" w14:textId="5044487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94%</w:t>
            </w:r>
          </w:p>
        </w:tc>
      </w:tr>
      <w:tr w:rsidR="006860D9" w14:paraId="0D83F58E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18B4A9FB" w14:textId="15500622" w:rsidR="006860D9" w:rsidRPr="00023C13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41</w:t>
            </w:r>
          </w:p>
        </w:tc>
        <w:tc>
          <w:tcPr>
            <w:tcW w:w="5075" w:type="dxa"/>
            <w:shd w:val="clear" w:color="000000" w:fill="D9D9D9"/>
            <w:noWrap/>
            <w:vAlign w:val="bottom"/>
            <w:hideMark/>
          </w:tcPr>
          <w:p w14:paraId="54F4C0FB" w14:textId="59AB38F3" w:rsidR="006860D9" w:rsidRPr="00023C13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2A527749" w14:textId="79211A1F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14.630.000,00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4C9C4BDA" w14:textId="5671EC50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17.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027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70" w:type="dxa"/>
            <w:shd w:val="clear" w:color="000000" w:fill="D9D9D9"/>
          </w:tcPr>
          <w:p w14:paraId="78B1A583" w14:textId="7F3EF9FA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2.2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871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2316CEE7" w14:textId="2FF4769D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929.060 €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3D0C2C31" w14:textId="5CBA2174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929.060 €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17081717" w14:textId="02874547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41%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2C6A852E" w14:textId="3F79870B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53D292A8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5429CC33" w14:textId="5FC00369" w:rsidR="006860D9" w:rsidRPr="00023C13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42</w:t>
            </w:r>
          </w:p>
        </w:tc>
        <w:tc>
          <w:tcPr>
            <w:tcW w:w="5075" w:type="dxa"/>
            <w:shd w:val="clear" w:color="000000" w:fill="D9D9D9"/>
            <w:noWrap/>
            <w:vAlign w:val="bottom"/>
            <w:hideMark/>
          </w:tcPr>
          <w:p w14:paraId="1A6FF2C6" w14:textId="65E9C4A5" w:rsidR="006860D9" w:rsidRPr="00023C13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5F7DD5CB" w14:textId="1922427A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5.342.250,00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53C15385" w14:textId="38B6FFBD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13.011.810,50</w:t>
            </w:r>
          </w:p>
        </w:tc>
        <w:tc>
          <w:tcPr>
            <w:tcW w:w="1370" w:type="dxa"/>
            <w:shd w:val="clear" w:color="000000" w:fill="D9D9D9"/>
          </w:tcPr>
          <w:p w14:paraId="526E108B" w14:textId="18C7972A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1.726.964 €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3AADFAFF" w14:textId="05139E55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2.326.004 €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3F82CEC5" w14:textId="4D05BD9A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2.334.631 €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18433602" w14:textId="5BAF2473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135%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657BA76B" w14:textId="16B3F11E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6860D9" w14:paraId="0EFB8C43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23937875" w14:textId="6052C9B7" w:rsidR="006860D9" w:rsidRDefault="00FF622E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075" w:type="dxa"/>
            <w:shd w:val="clear" w:color="000000" w:fill="D9D9D9"/>
            <w:noWrap/>
            <w:vAlign w:val="bottom"/>
            <w:hideMark/>
          </w:tcPr>
          <w:p w14:paraId="50510841" w14:textId="628BADB2" w:rsidR="006860D9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3168B731" w14:textId="66BB74A6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4FB67B8E" w14:textId="549161FA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12.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256.034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70" w:type="dxa"/>
            <w:shd w:val="clear" w:color="000000" w:fill="D9D9D9"/>
          </w:tcPr>
          <w:p w14:paraId="645B2D43" w14:textId="46717145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1.626.655</w:t>
            </w: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26AEDD8A" w14:textId="156F6270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1.268.830 €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1D75C0A4" w14:textId="03D8410F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1.003.384 €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496C0E52" w14:textId="7CCCEB93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79%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516E4936" w14:textId="42377D7E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79%</w:t>
            </w:r>
          </w:p>
        </w:tc>
      </w:tr>
      <w:tr w:rsidR="006860D9" w14:paraId="54FD648F" w14:textId="77777777" w:rsidTr="005328A6">
        <w:trPr>
          <w:trHeight w:val="190"/>
        </w:trPr>
        <w:tc>
          <w:tcPr>
            <w:tcW w:w="574" w:type="dxa"/>
            <w:shd w:val="clear" w:color="000000" w:fill="538DD5"/>
          </w:tcPr>
          <w:p w14:paraId="49E383C0" w14:textId="29BCEBDB" w:rsidR="006860D9" w:rsidRPr="00023C13" w:rsidRDefault="00C52770" w:rsidP="006860D9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5075" w:type="dxa"/>
            <w:shd w:val="clear" w:color="000000" w:fill="538DD5"/>
            <w:noWrap/>
            <w:vAlign w:val="center"/>
            <w:hideMark/>
          </w:tcPr>
          <w:p w14:paraId="6340B28A" w14:textId="6B80DE78" w:rsidR="006860D9" w:rsidRPr="00023C13" w:rsidRDefault="006860D9" w:rsidP="006860D9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Primici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financijske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zaduživanja</w:t>
            </w:r>
            <w:proofErr w:type="spellEnd"/>
          </w:p>
        </w:tc>
        <w:tc>
          <w:tcPr>
            <w:tcW w:w="1576" w:type="dxa"/>
            <w:shd w:val="clear" w:color="000000" w:fill="538DD5"/>
          </w:tcPr>
          <w:p w14:paraId="1150C111" w14:textId="538F153D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12.745.500,00</w:t>
            </w:r>
          </w:p>
        </w:tc>
        <w:tc>
          <w:tcPr>
            <w:tcW w:w="1619" w:type="dxa"/>
            <w:shd w:val="clear" w:color="000000" w:fill="538DD5"/>
            <w:hideMark/>
          </w:tcPr>
          <w:p w14:paraId="440E4DEC" w14:textId="19489A36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2422">
              <w:rPr>
                <w:rFonts w:ascii="Calibri" w:hAnsi="Calibri" w:cs="Calibri"/>
                <w:b/>
                <w:bCs/>
                <w:sz w:val="22"/>
                <w:szCs w:val="22"/>
              </w:rPr>
              <w:t>12.845.415,00</w:t>
            </w:r>
          </w:p>
        </w:tc>
        <w:tc>
          <w:tcPr>
            <w:tcW w:w="1370" w:type="dxa"/>
            <w:shd w:val="clear" w:color="000000" w:fill="538DD5"/>
          </w:tcPr>
          <w:p w14:paraId="07707ADC" w14:textId="4B952A1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2422">
              <w:rPr>
                <w:rFonts w:ascii="Calibri" w:hAnsi="Calibri" w:cs="Calibri"/>
                <w:b/>
                <w:bCs/>
                <w:sz w:val="22"/>
                <w:szCs w:val="22"/>
              </w:rPr>
              <w:t>1.704.880 €</w:t>
            </w:r>
          </w:p>
        </w:tc>
        <w:tc>
          <w:tcPr>
            <w:tcW w:w="1268" w:type="dxa"/>
            <w:shd w:val="clear" w:color="000000" w:fill="538DD5"/>
            <w:hideMark/>
          </w:tcPr>
          <w:p w14:paraId="73D01EE3" w14:textId="0599FCEE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1.327.228 €</w:t>
            </w:r>
          </w:p>
        </w:tc>
        <w:tc>
          <w:tcPr>
            <w:tcW w:w="1305" w:type="dxa"/>
            <w:shd w:val="clear" w:color="000000" w:fill="538DD5"/>
            <w:hideMark/>
          </w:tcPr>
          <w:p w14:paraId="123DE799" w14:textId="54B6B8BB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379F">
              <w:rPr>
                <w:rFonts w:ascii="Calibri" w:hAnsi="Calibri" w:cs="Calibri"/>
                <w:b/>
                <w:bCs/>
                <w:sz w:val="22"/>
                <w:szCs w:val="22"/>
              </w:rPr>
              <w:t>0 €</w:t>
            </w:r>
          </w:p>
        </w:tc>
        <w:tc>
          <w:tcPr>
            <w:tcW w:w="1185" w:type="dxa"/>
            <w:shd w:val="clear" w:color="000000" w:fill="538DD5"/>
            <w:hideMark/>
          </w:tcPr>
          <w:p w14:paraId="6BEA993E" w14:textId="20D5C3F6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78%</w:t>
            </w:r>
          </w:p>
        </w:tc>
        <w:tc>
          <w:tcPr>
            <w:tcW w:w="1185" w:type="dxa"/>
            <w:shd w:val="clear" w:color="000000" w:fill="538DD5"/>
            <w:hideMark/>
          </w:tcPr>
          <w:p w14:paraId="2205D65D" w14:textId="0BDA0182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0,00%</w:t>
            </w:r>
          </w:p>
        </w:tc>
      </w:tr>
      <w:tr w:rsidR="006860D9" w14:paraId="46EE8D85" w14:textId="77777777" w:rsidTr="005328A6">
        <w:trPr>
          <w:trHeight w:val="162"/>
        </w:trPr>
        <w:tc>
          <w:tcPr>
            <w:tcW w:w="574" w:type="dxa"/>
            <w:shd w:val="clear" w:color="000000" w:fill="D9D9D9"/>
          </w:tcPr>
          <w:p w14:paraId="5EF013A1" w14:textId="513FD265" w:rsidR="006860D9" w:rsidRPr="00023C13" w:rsidRDefault="00C52770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81</w:t>
            </w:r>
          </w:p>
        </w:tc>
        <w:tc>
          <w:tcPr>
            <w:tcW w:w="5075" w:type="dxa"/>
            <w:shd w:val="clear" w:color="000000" w:fill="D9D9D9"/>
            <w:noWrap/>
            <w:vAlign w:val="center"/>
            <w:hideMark/>
          </w:tcPr>
          <w:p w14:paraId="18079353" w14:textId="384234CB" w:rsidR="006860D9" w:rsidRPr="00023C13" w:rsidRDefault="006860D9" w:rsidP="006860D9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Primljeni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glavnica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danih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zajmova</w:t>
            </w:r>
            <w:proofErr w:type="spellEnd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23C1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depozita</w:t>
            </w:r>
            <w:proofErr w:type="spellEnd"/>
          </w:p>
        </w:tc>
        <w:tc>
          <w:tcPr>
            <w:tcW w:w="1576" w:type="dxa"/>
            <w:shd w:val="clear" w:color="000000" w:fill="D9D9D9"/>
          </w:tcPr>
          <w:p w14:paraId="6B4FA8EC" w14:textId="72A3BFB1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12.745.500,00</w:t>
            </w:r>
          </w:p>
        </w:tc>
        <w:tc>
          <w:tcPr>
            <w:tcW w:w="1619" w:type="dxa"/>
            <w:shd w:val="clear" w:color="000000" w:fill="D9D9D9"/>
            <w:hideMark/>
          </w:tcPr>
          <w:p w14:paraId="75AB94AA" w14:textId="620B6C89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12.845.415,00</w:t>
            </w:r>
          </w:p>
        </w:tc>
        <w:tc>
          <w:tcPr>
            <w:tcW w:w="1370" w:type="dxa"/>
            <w:shd w:val="clear" w:color="000000" w:fill="D9D9D9"/>
          </w:tcPr>
          <w:p w14:paraId="2AC75499" w14:textId="3440A8E8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1.704.880 €</w:t>
            </w:r>
          </w:p>
        </w:tc>
        <w:tc>
          <w:tcPr>
            <w:tcW w:w="1268" w:type="dxa"/>
            <w:shd w:val="clear" w:color="000000" w:fill="D9D9D9"/>
            <w:hideMark/>
          </w:tcPr>
          <w:p w14:paraId="527342D4" w14:textId="42EAE934" w:rsidR="006860D9" w:rsidRPr="005B5037" w:rsidRDefault="006860D9" w:rsidP="006860D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1.327.228 €</w:t>
            </w:r>
          </w:p>
        </w:tc>
        <w:tc>
          <w:tcPr>
            <w:tcW w:w="1305" w:type="dxa"/>
            <w:shd w:val="clear" w:color="000000" w:fill="D9D9D9"/>
            <w:hideMark/>
          </w:tcPr>
          <w:p w14:paraId="2AD7AFA2" w14:textId="3F430C5F" w:rsidR="006860D9" w:rsidRPr="0079379F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379F">
              <w:rPr>
                <w:rFonts w:ascii="Calibri" w:hAnsi="Calibri" w:cs="Calibri"/>
                <w:b/>
                <w:bCs/>
                <w:sz w:val="20"/>
                <w:szCs w:val="20"/>
              </w:rPr>
              <w:t>0 €</w:t>
            </w:r>
          </w:p>
        </w:tc>
        <w:tc>
          <w:tcPr>
            <w:tcW w:w="1185" w:type="dxa"/>
            <w:shd w:val="clear" w:color="000000" w:fill="D9D9D9"/>
            <w:hideMark/>
          </w:tcPr>
          <w:p w14:paraId="2F79B3EB" w14:textId="49AA5B44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78%</w:t>
            </w:r>
          </w:p>
        </w:tc>
        <w:tc>
          <w:tcPr>
            <w:tcW w:w="1185" w:type="dxa"/>
            <w:shd w:val="clear" w:color="000000" w:fill="D9D9D9"/>
            <w:hideMark/>
          </w:tcPr>
          <w:p w14:paraId="6AF7FE95" w14:textId="37DF81E5" w:rsidR="006860D9" w:rsidRPr="00862422" w:rsidRDefault="006860D9" w:rsidP="006860D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2422">
              <w:rPr>
                <w:rFonts w:ascii="Calibri" w:hAnsi="Calibri" w:cs="Calibri"/>
                <w:b/>
                <w:bCs/>
                <w:sz w:val="20"/>
                <w:szCs w:val="20"/>
              </w:rPr>
              <w:t>0,00%</w:t>
            </w:r>
          </w:p>
        </w:tc>
      </w:tr>
    </w:tbl>
    <w:p w14:paraId="543AEBA6" w14:textId="77777777" w:rsidR="00023C13" w:rsidRDefault="00023C13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D73EC4B" w14:textId="77777777" w:rsidR="006860D9" w:rsidRDefault="006860D9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AD68951" w14:textId="335EA6C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09515F0F" w14:textId="77777777" w:rsidR="00C52770" w:rsidRDefault="00C52770" w:rsidP="002E629C">
      <w:pPr>
        <w:rPr>
          <w:bCs/>
          <w:iCs/>
          <w:lang w:val="hr-HR"/>
        </w:rPr>
      </w:pPr>
    </w:p>
    <w:p w14:paraId="6E3A43A0" w14:textId="77777777" w:rsidR="00C52770" w:rsidRDefault="00C52770" w:rsidP="002E629C">
      <w:pPr>
        <w:rPr>
          <w:bCs/>
          <w:iCs/>
          <w:lang w:val="hr-HR"/>
        </w:rPr>
      </w:pPr>
    </w:p>
    <w:p w14:paraId="3E7AF920" w14:textId="11B88104" w:rsidR="002E629C" w:rsidRDefault="00012594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lastRenderedPageBreak/>
        <w:t>Prihodi</w:t>
      </w:r>
      <w:r w:rsidR="002E629C" w:rsidRPr="00E42377">
        <w:rPr>
          <w:bCs/>
          <w:iCs/>
          <w:lang w:val="hr-HR"/>
        </w:rPr>
        <w:t xml:space="preserve"> iskazani sumarno prema izvorima financiranja i </w:t>
      </w:r>
      <w:r>
        <w:rPr>
          <w:bCs/>
          <w:iCs/>
          <w:lang w:val="hr-HR"/>
        </w:rPr>
        <w:t xml:space="preserve">rashodi iskazani prema </w:t>
      </w:r>
      <w:r w:rsidR="002E629C" w:rsidRPr="00E42377">
        <w:rPr>
          <w:bCs/>
          <w:iCs/>
          <w:lang w:val="hr-HR"/>
        </w:rPr>
        <w:t>funkcijskoj klasifikaciji:</w:t>
      </w:r>
    </w:p>
    <w:p w14:paraId="0EB40F4E" w14:textId="77777777" w:rsidR="002E629C" w:rsidRDefault="002E629C" w:rsidP="002E629C">
      <w:pPr>
        <w:rPr>
          <w:bCs/>
          <w:iCs/>
          <w:lang w:val="hr-HR"/>
        </w:rPr>
      </w:pPr>
    </w:p>
    <w:p w14:paraId="2CBBCC2C" w14:textId="77777777" w:rsidR="002E629C" w:rsidRDefault="002E629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 xml:space="preserve">   </w:t>
      </w:r>
      <w:r w:rsidRPr="002E629C">
        <w:rPr>
          <w:b/>
          <w:bCs/>
          <w:iCs/>
          <w:lang w:val="hr-HR"/>
        </w:rPr>
        <w:t>IZVORI FINANCIRANJA</w:t>
      </w:r>
      <w:r>
        <w:rPr>
          <w:bCs/>
          <w:iCs/>
          <w:lang w:val="hr-HR"/>
        </w:rPr>
        <w:t xml:space="preserve">                                       </w:t>
      </w:r>
      <w:r>
        <w:rPr>
          <w:bCs/>
          <w:iCs/>
          <w:lang w:val="hr-HR"/>
        </w:rPr>
        <w:tab/>
      </w:r>
      <w:r>
        <w:rPr>
          <w:bCs/>
          <w:iCs/>
          <w:lang w:val="hr-HR"/>
        </w:rPr>
        <w:tab/>
      </w:r>
      <w:r>
        <w:rPr>
          <w:bCs/>
          <w:iCs/>
          <w:lang w:val="hr-HR"/>
        </w:rPr>
        <w:tab/>
      </w:r>
      <w:r>
        <w:rPr>
          <w:bCs/>
          <w:iCs/>
          <w:lang w:val="hr-HR"/>
        </w:rPr>
        <w:tab/>
      </w:r>
      <w:r>
        <w:rPr>
          <w:bCs/>
          <w:iCs/>
          <w:lang w:val="hr-HR"/>
        </w:rPr>
        <w:tab/>
        <w:t xml:space="preserve">  </w:t>
      </w:r>
      <w:r w:rsidRPr="00C86820">
        <w:rPr>
          <w:bCs/>
          <w:iCs/>
          <w:lang w:val="hr-HR"/>
        </w:rPr>
        <w:t>PRIHODI 2023.</w:t>
      </w:r>
      <w:r>
        <w:rPr>
          <w:bCs/>
          <w:iCs/>
          <w:lang w:val="hr-HR"/>
        </w:rPr>
        <w:t xml:space="preserve">(KN)          </w:t>
      </w:r>
      <w:r w:rsidRPr="00C86820">
        <w:rPr>
          <w:bCs/>
          <w:iCs/>
          <w:lang w:val="hr-HR"/>
        </w:rPr>
        <w:t>PRIHODI 2023.</w:t>
      </w:r>
      <w:r>
        <w:rPr>
          <w:bCs/>
          <w:iCs/>
          <w:lang w:val="hr-HR"/>
        </w:rPr>
        <w:t>(EUR)</w:t>
      </w:r>
    </w:p>
    <w:tbl>
      <w:tblPr>
        <w:tblW w:w="13467" w:type="dxa"/>
        <w:tblLook w:val="04A0" w:firstRow="1" w:lastRow="0" w:firstColumn="1" w:lastColumn="0" w:noHBand="0" w:noVBand="1"/>
      </w:tblPr>
      <w:tblGrid>
        <w:gridCol w:w="8505"/>
        <w:gridCol w:w="2246"/>
        <w:gridCol w:w="2716"/>
      </w:tblGrid>
      <w:tr w:rsidR="002E629C" w14:paraId="4DE4E81D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3B948D99" w14:textId="77777777" w:rsidR="002E629C" w:rsidRDefault="002E629C" w:rsidP="00166468">
            <w:pPr>
              <w:rPr>
                <w:rFonts w:ascii="Calibri" w:hAnsi="Calibri" w:cs="Calibri"/>
                <w:b/>
                <w:bCs/>
                <w:lang w:val="hr-HR" w:eastAsia="hr-HR"/>
              </w:rPr>
            </w:pPr>
            <w:proofErr w:type="spellStart"/>
            <w:r w:rsidRPr="004057D5">
              <w:t>Opći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prihodi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primici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4D0909B6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6614C">
              <w:rPr>
                <w:rFonts w:asciiTheme="minorHAnsi" w:hAnsiTheme="minorHAnsi" w:cstheme="minorHAnsi"/>
              </w:rPr>
              <w:t>46.345.495,00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6EC670DE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6.151.104 €</w:t>
            </w:r>
          </w:p>
        </w:tc>
      </w:tr>
      <w:tr w:rsidR="002E629C" w14:paraId="6B813625" w14:textId="77777777" w:rsidTr="00166468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76ED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Opći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prihodi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primici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44C7F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44.463.000,00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77B48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5.901.254 €</w:t>
            </w:r>
          </w:p>
        </w:tc>
      </w:tr>
      <w:tr w:rsidR="002E629C" w14:paraId="5FDF99B7" w14:textId="77777777" w:rsidTr="00166468">
        <w:trPr>
          <w:trHeight w:val="39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72419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Prihodi</w:t>
            </w:r>
            <w:proofErr w:type="spellEnd"/>
            <w:r w:rsidRPr="004057D5">
              <w:t xml:space="preserve"> za </w:t>
            </w:r>
            <w:proofErr w:type="spellStart"/>
            <w:r w:rsidRPr="004057D5">
              <w:t>decentralizirane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funkcije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C8A5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1.882.495,00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E3B8E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249.850 €</w:t>
            </w:r>
          </w:p>
        </w:tc>
      </w:tr>
      <w:tr w:rsidR="002E629C" w14:paraId="0AFD6472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2018E73C" w14:textId="77777777" w:rsidR="002E629C" w:rsidRDefault="002E629C" w:rsidP="0016646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4057D5">
              <w:t>Vlastiti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prihodi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66BB5E5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6614C">
              <w:rPr>
                <w:rFonts w:asciiTheme="minorHAnsi" w:hAnsiTheme="minorHAnsi" w:cstheme="minorHAnsi"/>
              </w:rPr>
              <w:t>1.050.000,00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1D2E0EE0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139.359 €</w:t>
            </w:r>
          </w:p>
        </w:tc>
      </w:tr>
      <w:tr w:rsidR="002E629C" w14:paraId="1164DFE9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31E50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Vlastiti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prihodi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C60B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830.000,00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06BD0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110.160 €</w:t>
            </w:r>
          </w:p>
        </w:tc>
      </w:tr>
      <w:tr w:rsidR="002E629C" w14:paraId="4645BDA6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E9CD9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Vlastiti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prihodi</w:t>
            </w:r>
            <w:proofErr w:type="spellEnd"/>
            <w:r w:rsidRPr="004057D5">
              <w:t xml:space="preserve"> - JVP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41B4F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220.000,00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5D72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29.199 €</w:t>
            </w:r>
          </w:p>
        </w:tc>
      </w:tr>
      <w:tr w:rsidR="002E629C" w14:paraId="2A415534" w14:textId="77777777" w:rsidTr="00166468">
        <w:trPr>
          <w:trHeight w:val="3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7C895DF8" w14:textId="77777777" w:rsidR="002E629C" w:rsidRDefault="002E629C" w:rsidP="0016646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4057D5">
              <w:t>Prihodi</w:t>
            </w:r>
            <w:proofErr w:type="spellEnd"/>
            <w:r w:rsidRPr="004057D5">
              <w:t xml:space="preserve"> za </w:t>
            </w:r>
            <w:proofErr w:type="spellStart"/>
            <w:r w:rsidRPr="004057D5">
              <w:t>posebne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namjene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CE6FD0A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6614C">
              <w:rPr>
                <w:rFonts w:asciiTheme="minorHAnsi" w:hAnsiTheme="minorHAnsi" w:cstheme="minorHAnsi"/>
              </w:rPr>
              <w:t>14.821.000,00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04862B8C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1.967.085 €</w:t>
            </w:r>
          </w:p>
        </w:tc>
      </w:tr>
      <w:tr w:rsidR="002E629C" w14:paraId="037A61A8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E8056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Komunalni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doprinos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E31EA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9.000.000,00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D392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1.194.505 €</w:t>
            </w:r>
          </w:p>
        </w:tc>
      </w:tr>
      <w:tr w:rsidR="002E629C" w14:paraId="655D3848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126CD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Komunalna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naknada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A45DE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4.700.000,00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6FC63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623.797 €</w:t>
            </w:r>
          </w:p>
        </w:tc>
      </w:tr>
      <w:tr w:rsidR="002E629C" w14:paraId="5DBA7989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50596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Vodni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doprinos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426C2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80.000,00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F9D17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10.618 €</w:t>
            </w:r>
          </w:p>
        </w:tc>
      </w:tr>
      <w:tr w:rsidR="002E629C" w14:paraId="1BB3008F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521D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Naknada</w:t>
            </w:r>
            <w:proofErr w:type="spellEnd"/>
            <w:r w:rsidRPr="004057D5">
              <w:t xml:space="preserve"> za </w:t>
            </w:r>
            <w:proofErr w:type="spellStart"/>
            <w:r w:rsidRPr="004057D5">
              <w:t>legalizaciju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BF81A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30.000,00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9E7EC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3.982 €</w:t>
            </w:r>
          </w:p>
        </w:tc>
      </w:tr>
      <w:tr w:rsidR="002E629C" w14:paraId="731EBC55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92DCA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Boravišna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pristojba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6EEE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950.000,00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2846A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126.087 €</w:t>
            </w:r>
          </w:p>
        </w:tc>
      </w:tr>
      <w:tr w:rsidR="002E629C" w14:paraId="060C650E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C034F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Naknada</w:t>
            </w:r>
            <w:proofErr w:type="spellEnd"/>
            <w:r w:rsidRPr="004057D5">
              <w:t xml:space="preserve"> za </w:t>
            </w:r>
            <w:proofErr w:type="spellStart"/>
            <w:r w:rsidRPr="004057D5">
              <w:t>prenamjenu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poljoprivrednog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zemljišta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E669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60.000,00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1599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7.963 €</w:t>
            </w:r>
          </w:p>
        </w:tc>
      </w:tr>
      <w:tr w:rsidR="002E629C" w14:paraId="47B32744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D6EBA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Spomenička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renta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A897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98C96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133 €</w:t>
            </w:r>
          </w:p>
        </w:tc>
      </w:tr>
      <w:tr w:rsidR="002E629C" w14:paraId="4D2B2B72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3EF62E33" w14:textId="77777777" w:rsidR="002E629C" w:rsidRDefault="002E629C" w:rsidP="0016646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4057D5">
              <w:t>Pomoći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055733D9" w14:textId="1F7D5072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6614C">
              <w:rPr>
                <w:rFonts w:asciiTheme="minorHAnsi" w:hAnsiTheme="minorHAnsi" w:cstheme="minorHAnsi"/>
              </w:rPr>
              <w:t>7.</w:t>
            </w:r>
            <w:r w:rsidR="00715FC0">
              <w:rPr>
                <w:rFonts w:asciiTheme="minorHAnsi" w:hAnsiTheme="minorHAnsi" w:cstheme="minorHAnsi"/>
              </w:rPr>
              <w:t>800</w:t>
            </w:r>
            <w:r w:rsidRPr="0016614C">
              <w:rPr>
                <w:rFonts w:asciiTheme="minorHAnsi" w:hAnsiTheme="minorHAnsi" w:cstheme="minorHAnsi"/>
              </w:rPr>
              <w:t>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D6CACB9" w14:textId="21ADED8C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1.0</w:t>
            </w:r>
            <w:r w:rsidR="00715FC0">
              <w:rPr>
                <w:rFonts w:asciiTheme="minorHAnsi" w:hAnsiTheme="minorHAnsi" w:cstheme="minorHAnsi"/>
              </w:rPr>
              <w:t>35</w:t>
            </w:r>
            <w:r w:rsidRPr="0016614C">
              <w:rPr>
                <w:rFonts w:asciiTheme="minorHAnsi" w:hAnsiTheme="minorHAnsi" w:cstheme="minorHAnsi"/>
              </w:rPr>
              <w:t>.</w:t>
            </w:r>
            <w:r w:rsidR="00715FC0">
              <w:rPr>
                <w:rFonts w:asciiTheme="minorHAnsi" w:hAnsiTheme="minorHAnsi" w:cstheme="minorHAnsi"/>
              </w:rPr>
              <w:t>238</w:t>
            </w:r>
            <w:r w:rsidRPr="0016614C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2E629C" w14:paraId="51C0E4D3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802C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Pomoći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iz</w:t>
            </w:r>
            <w:proofErr w:type="spellEnd"/>
            <w:r w:rsidRPr="004057D5">
              <w:t xml:space="preserve"> EU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BD99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1.580.000,00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7777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209.702 €</w:t>
            </w:r>
          </w:p>
        </w:tc>
      </w:tr>
      <w:tr w:rsidR="002E629C" w14:paraId="2848A170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74F43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Pomoći</w:t>
            </w:r>
            <w:proofErr w:type="spellEnd"/>
            <w:r w:rsidRPr="004057D5">
              <w:t xml:space="preserve"> od </w:t>
            </w:r>
            <w:proofErr w:type="spellStart"/>
            <w:r w:rsidRPr="004057D5">
              <w:t>drugih</w:t>
            </w:r>
            <w:proofErr w:type="spellEnd"/>
            <w:r w:rsidRPr="004057D5">
              <w:t xml:space="preserve"> </w:t>
            </w:r>
            <w:proofErr w:type="spellStart"/>
            <w:r w:rsidRPr="004057D5">
              <w:t>proračuna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8AAA9" w14:textId="1FF70F63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6.</w:t>
            </w:r>
            <w:r w:rsidR="00715FC0">
              <w:rPr>
                <w:rFonts w:asciiTheme="minorHAnsi" w:hAnsiTheme="minorHAnsi" w:cstheme="minorHAnsi"/>
              </w:rPr>
              <w:t>22</w:t>
            </w:r>
            <w:r w:rsidRPr="0016614C">
              <w:rPr>
                <w:rFonts w:asciiTheme="minorHAnsi" w:hAnsiTheme="minorHAnsi" w:cstheme="minorHAnsi"/>
              </w:rPr>
              <w:t>0.000,00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7EFD6" w14:textId="012055ED" w:rsidR="002E629C" w:rsidRPr="0016614C" w:rsidRDefault="00715FC0" w:rsidP="00D43C3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825.536</w:t>
            </w:r>
            <w:r w:rsidR="002E629C" w:rsidRPr="0016614C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2E629C" w14:paraId="4B1E96CD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14:paraId="0565FE1D" w14:textId="77777777" w:rsidR="002E629C" w:rsidRDefault="002E629C" w:rsidP="0016646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4057D5">
              <w:t>Donacije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4D24965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6614C">
              <w:rPr>
                <w:rFonts w:asciiTheme="minorHAnsi" w:hAnsiTheme="minorHAnsi" w:cstheme="minorHAnsi"/>
              </w:rPr>
              <w:t>35.000,00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02567DA3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4.645 €</w:t>
            </w:r>
          </w:p>
        </w:tc>
      </w:tr>
      <w:tr w:rsidR="002E629C" w14:paraId="2AB00528" w14:textId="77777777" w:rsidTr="00166468">
        <w:trPr>
          <w:trHeight w:val="33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2657" w14:textId="77777777" w:rsidR="002E629C" w:rsidRDefault="002E629C" w:rsidP="00166468">
            <w:pPr>
              <w:rPr>
                <w:rFonts w:ascii="Calibri" w:hAnsi="Calibri" w:cs="Calibri"/>
              </w:rPr>
            </w:pPr>
            <w:proofErr w:type="spellStart"/>
            <w:r w:rsidRPr="004057D5">
              <w:t>Donacije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7CFB7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35.000,00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7FEA" w14:textId="77777777" w:rsidR="002E629C" w:rsidRPr="0016614C" w:rsidRDefault="002E629C" w:rsidP="00D43C34">
            <w:pPr>
              <w:jc w:val="right"/>
              <w:rPr>
                <w:rFonts w:asciiTheme="minorHAnsi" w:hAnsiTheme="minorHAnsi" w:cstheme="minorHAnsi"/>
              </w:rPr>
            </w:pPr>
            <w:r w:rsidRPr="0016614C">
              <w:rPr>
                <w:rFonts w:asciiTheme="minorHAnsi" w:hAnsiTheme="minorHAnsi" w:cstheme="minorHAnsi"/>
              </w:rPr>
              <w:t>4.645 €</w:t>
            </w:r>
          </w:p>
        </w:tc>
      </w:tr>
    </w:tbl>
    <w:p w14:paraId="3DC29E82" w14:textId="77777777" w:rsidR="002E629C" w:rsidRDefault="002E629C" w:rsidP="002E629C">
      <w:pPr>
        <w:rPr>
          <w:bCs/>
          <w:iCs/>
          <w:lang w:val="hr-HR"/>
        </w:rPr>
      </w:pPr>
    </w:p>
    <w:p w14:paraId="6E47A5EF" w14:textId="275641CB" w:rsidR="002E629C" w:rsidRDefault="002E629C" w:rsidP="002E629C">
      <w:pPr>
        <w:rPr>
          <w:bCs/>
          <w:iCs/>
          <w:lang w:val="hr-HR"/>
        </w:rPr>
      </w:pPr>
    </w:p>
    <w:p w14:paraId="3326D506" w14:textId="6659EB19" w:rsidR="002E629C" w:rsidRDefault="002E629C" w:rsidP="002E629C">
      <w:pPr>
        <w:rPr>
          <w:bCs/>
          <w:iCs/>
          <w:lang w:val="hr-HR"/>
        </w:rPr>
      </w:pPr>
    </w:p>
    <w:p w14:paraId="229D0543" w14:textId="71850B61" w:rsidR="002E629C" w:rsidRDefault="002E629C" w:rsidP="002E629C">
      <w:pPr>
        <w:rPr>
          <w:bCs/>
          <w:iCs/>
          <w:lang w:val="hr-HR"/>
        </w:rPr>
      </w:pPr>
    </w:p>
    <w:p w14:paraId="1812872B" w14:textId="098A6C11" w:rsidR="002E629C" w:rsidRDefault="002E629C" w:rsidP="002E629C">
      <w:pPr>
        <w:rPr>
          <w:bCs/>
          <w:iCs/>
          <w:lang w:val="hr-HR"/>
        </w:rPr>
      </w:pPr>
    </w:p>
    <w:p w14:paraId="1E60773C" w14:textId="58791565" w:rsidR="002E629C" w:rsidRDefault="002E629C" w:rsidP="002E629C">
      <w:pPr>
        <w:rPr>
          <w:bCs/>
          <w:iCs/>
          <w:lang w:val="hr-HR"/>
        </w:rPr>
      </w:pPr>
    </w:p>
    <w:p w14:paraId="3836A7DF" w14:textId="34572B4D" w:rsidR="002E629C" w:rsidRDefault="002E629C" w:rsidP="002E629C">
      <w:pPr>
        <w:rPr>
          <w:bCs/>
          <w:iCs/>
          <w:lang w:val="hr-HR"/>
        </w:rPr>
      </w:pPr>
    </w:p>
    <w:p w14:paraId="0F24EC30" w14:textId="74703BA6" w:rsidR="002E629C" w:rsidRDefault="002E629C" w:rsidP="002E629C">
      <w:pPr>
        <w:rPr>
          <w:bCs/>
          <w:iCs/>
          <w:lang w:val="hr-HR"/>
        </w:rPr>
      </w:pPr>
    </w:p>
    <w:p w14:paraId="10AD3B81" w14:textId="27CC553A" w:rsidR="002E629C" w:rsidRDefault="002E629C" w:rsidP="002E629C">
      <w:pPr>
        <w:rPr>
          <w:bCs/>
          <w:iCs/>
          <w:lang w:val="hr-HR"/>
        </w:rPr>
      </w:pPr>
    </w:p>
    <w:p w14:paraId="64EE59C6" w14:textId="77777777" w:rsidR="006860D9" w:rsidRDefault="006860D9" w:rsidP="002E629C">
      <w:pPr>
        <w:rPr>
          <w:bCs/>
          <w:iCs/>
          <w:lang w:val="hr-HR"/>
        </w:rPr>
      </w:pPr>
    </w:p>
    <w:p w14:paraId="31FFD904" w14:textId="77777777" w:rsidR="002E629C" w:rsidRDefault="002E629C" w:rsidP="002E629C">
      <w:pPr>
        <w:rPr>
          <w:bCs/>
          <w:iCs/>
          <w:lang w:val="hr-HR"/>
        </w:rPr>
      </w:pPr>
    </w:p>
    <w:p w14:paraId="4DB5B151" w14:textId="77777777" w:rsidR="002E629C" w:rsidRPr="002E629C" w:rsidRDefault="002E629C" w:rsidP="002E629C">
      <w:pPr>
        <w:rPr>
          <w:b/>
          <w:bCs/>
          <w:iCs/>
          <w:lang w:val="hr-HR"/>
        </w:rPr>
      </w:pPr>
      <w:r w:rsidRPr="002E629C">
        <w:rPr>
          <w:b/>
          <w:bCs/>
          <w:iCs/>
          <w:lang w:val="hr-HR"/>
        </w:rPr>
        <w:lastRenderedPageBreak/>
        <w:t>FUNKCIJSKA KLASIFIKACIJA</w:t>
      </w:r>
    </w:p>
    <w:p w14:paraId="4E60550E" w14:textId="77777777" w:rsidR="002E629C" w:rsidRDefault="002E629C" w:rsidP="002E629C">
      <w:pPr>
        <w:rPr>
          <w:bCs/>
          <w:iCs/>
          <w:lang w:val="hr-HR"/>
        </w:rPr>
      </w:pPr>
    </w:p>
    <w:tbl>
      <w:tblPr>
        <w:tblW w:w="14080" w:type="dxa"/>
        <w:tblLook w:val="04A0" w:firstRow="1" w:lastRow="0" w:firstColumn="1" w:lastColumn="0" w:noHBand="0" w:noVBand="1"/>
      </w:tblPr>
      <w:tblGrid>
        <w:gridCol w:w="8440"/>
        <w:gridCol w:w="2820"/>
        <w:gridCol w:w="2820"/>
      </w:tblGrid>
      <w:tr w:rsidR="002E629C" w14:paraId="5FCB7159" w14:textId="77777777" w:rsidTr="00166468">
        <w:trPr>
          <w:trHeight w:val="510"/>
        </w:trPr>
        <w:tc>
          <w:tcPr>
            <w:tcW w:w="8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ABD1C0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klasifikacija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9AA085" w14:textId="77777777" w:rsidR="002E629C" w:rsidRDefault="002E629C" w:rsidP="00166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2023. (KN)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90CEC20" w14:textId="77777777" w:rsidR="002E629C" w:rsidRDefault="002E629C" w:rsidP="00166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2023. (EUR)</w:t>
            </w:r>
          </w:p>
        </w:tc>
      </w:tr>
      <w:tr w:rsidR="002E629C" w14:paraId="39281C14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8487D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Opće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usluge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9F22" w14:textId="2D2145AA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15.</w:t>
            </w:r>
            <w:r w:rsidR="006F6648">
              <w:rPr>
                <w:rFonts w:ascii="Calibri" w:hAnsi="Calibri" w:cs="Calibri"/>
                <w:b/>
                <w:bCs/>
              </w:rPr>
              <w:t>13</w:t>
            </w:r>
            <w:r w:rsidRPr="00A15538">
              <w:rPr>
                <w:rFonts w:ascii="Calibri" w:hAnsi="Calibri" w:cs="Calibri"/>
                <w:b/>
                <w:bCs/>
              </w:rPr>
              <w:t>9.000,00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85E9" w14:textId="0D7B1C3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2.00</w:t>
            </w:r>
            <w:r w:rsidR="006F6648">
              <w:rPr>
                <w:rFonts w:ascii="Calibri" w:hAnsi="Calibri" w:cs="Calibri"/>
                <w:b/>
                <w:bCs/>
              </w:rPr>
              <w:t>9</w:t>
            </w:r>
            <w:r w:rsidRPr="00A15538">
              <w:rPr>
                <w:rFonts w:ascii="Calibri" w:hAnsi="Calibri" w:cs="Calibri"/>
                <w:b/>
                <w:bCs/>
              </w:rPr>
              <w:t>.</w:t>
            </w:r>
            <w:r w:rsidR="006F6648">
              <w:rPr>
                <w:rFonts w:ascii="Calibri" w:hAnsi="Calibri" w:cs="Calibri"/>
                <w:b/>
                <w:bCs/>
              </w:rPr>
              <w:t>291</w:t>
            </w:r>
            <w:r w:rsidRPr="00A1553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2E629C" w14:paraId="3F7CC567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9FC56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5D9D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65.000,00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18DD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8.627 €</w:t>
            </w:r>
          </w:p>
        </w:tc>
      </w:tr>
      <w:tr w:rsidR="002E629C" w14:paraId="11B835D3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DE8A5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red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sigurnost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CED2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3.624.749,37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0FB4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481.087 €</w:t>
            </w:r>
          </w:p>
        </w:tc>
      </w:tr>
      <w:tr w:rsidR="002E629C" w14:paraId="7D4F240E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936D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Ekonomski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poslovi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AA26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21.335.000,00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1658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2.831.641 €</w:t>
            </w:r>
          </w:p>
        </w:tc>
      </w:tr>
      <w:tr w:rsidR="002E629C" w14:paraId="2C520A26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72831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Zaštita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okoliša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CA6C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0,00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7D48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2E629C" w14:paraId="5E0B8BDC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C2939" w14:textId="77777777" w:rsidR="002E629C" w:rsidRPr="004C05C7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/>
              </w:rPr>
            </w:pPr>
            <w:r w:rsidRPr="004C05C7">
              <w:rPr>
                <w:rFonts w:ascii="Calibri" w:hAnsi="Calibri" w:cs="Calibri"/>
                <w:b/>
                <w:bCs/>
                <w:color w:val="000000"/>
                <w:lang w:val="it-IT"/>
              </w:rPr>
              <w:t>Usluge unaprjeđenja stanovanja i zajednice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4C3F" w14:textId="6266C981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27.</w:t>
            </w:r>
            <w:r w:rsidR="00350BE4">
              <w:rPr>
                <w:rFonts w:ascii="Calibri" w:hAnsi="Calibri" w:cs="Calibri"/>
                <w:b/>
                <w:bCs/>
              </w:rPr>
              <w:t>928</w:t>
            </w:r>
            <w:r w:rsidRPr="00A15538">
              <w:rPr>
                <w:rFonts w:ascii="Calibri" w:hAnsi="Calibri" w:cs="Calibri"/>
                <w:b/>
                <w:bCs/>
              </w:rPr>
              <w:t>.0</w:t>
            </w:r>
            <w:r w:rsidR="00350BE4">
              <w:rPr>
                <w:rFonts w:ascii="Calibri" w:hAnsi="Calibri" w:cs="Calibri"/>
                <w:b/>
                <w:bCs/>
              </w:rPr>
              <w:t>34</w:t>
            </w:r>
            <w:r w:rsidRPr="00A15538">
              <w:rPr>
                <w:rFonts w:ascii="Calibri" w:hAnsi="Calibri" w:cs="Calibri"/>
                <w:b/>
                <w:bCs/>
              </w:rPr>
              <w:t>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CCDF" w14:textId="3F129D62" w:rsidR="002E629C" w:rsidRPr="00A15538" w:rsidRDefault="00350BE4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3.706.687</w:t>
            </w:r>
            <w:r w:rsidR="002E629C" w:rsidRPr="00A1553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2E629C" w14:paraId="53C54CAE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152B5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D726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170.000,00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AE22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22.563 €</w:t>
            </w:r>
          </w:p>
        </w:tc>
      </w:tr>
      <w:tr w:rsidR="002E629C" w14:paraId="30A82ACF" w14:textId="77777777" w:rsidTr="00166468">
        <w:trPr>
          <w:trHeight w:val="25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B92A4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Rekreacija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kultura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religija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78D7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8.567.000,00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B317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1.137.036 €</w:t>
            </w:r>
          </w:p>
        </w:tc>
      </w:tr>
      <w:tr w:rsidR="002E629C" w14:paraId="4DD3E4A1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F1C8B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611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11.614.000,00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0E49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1.541.443 €</w:t>
            </w:r>
          </w:p>
        </w:tc>
      </w:tr>
      <w:tr w:rsidR="002E629C" w14:paraId="3CE371D7" w14:textId="77777777" w:rsidTr="00166468">
        <w:trPr>
          <w:trHeight w:val="315"/>
        </w:trPr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6D3B9" w14:textId="77777777" w:rsidR="002E629C" w:rsidRDefault="002E629C" w:rsidP="001664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Socijalna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zaštita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34E1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4.500.250,00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58F4" w14:textId="77777777" w:rsidR="002E629C" w:rsidRPr="00A15538" w:rsidRDefault="002E629C" w:rsidP="0016646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15538">
              <w:rPr>
                <w:rFonts w:ascii="Calibri" w:hAnsi="Calibri" w:cs="Calibri"/>
                <w:b/>
                <w:bCs/>
              </w:rPr>
              <w:t>597.286 €</w:t>
            </w:r>
          </w:p>
        </w:tc>
      </w:tr>
    </w:tbl>
    <w:p w14:paraId="7C931FD7" w14:textId="77777777" w:rsidR="002E629C" w:rsidRDefault="002E629C" w:rsidP="002E629C">
      <w:pPr>
        <w:rPr>
          <w:bCs/>
          <w:iCs/>
          <w:lang w:val="hr-HR"/>
        </w:rPr>
      </w:pPr>
    </w:p>
    <w:p w14:paraId="33397A09" w14:textId="77777777" w:rsidR="002E629C" w:rsidRDefault="002E629C" w:rsidP="002E629C">
      <w:pPr>
        <w:rPr>
          <w:bCs/>
          <w:iCs/>
          <w:lang w:val="hr-HR"/>
        </w:rPr>
      </w:pPr>
    </w:p>
    <w:p w14:paraId="51308BD6" w14:textId="4E717A6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72712C83" w14:textId="7AC583CA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065DD34C" w14:textId="77777777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769A1BAB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0C61848C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40CB74A8" w14:textId="7DBC0D15" w:rsidR="00E80D9D" w:rsidRPr="00E42377" w:rsidRDefault="00E80D9D">
      <w:pPr>
        <w:rPr>
          <w:rFonts w:asciiTheme="minorHAnsi" w:hAnsiTheme="minorHAnsi" w:cstheme="minorHAnsi"/>
          <w:b/>
          <w:bCs/>
          <w:lang w:val="hr-HR" w:eastAsia="hr-HR"/>
        </w:rPr>
      </w:pPr>
      <w:r w:rsidRPr="00E42377">
        <w:rPr>
          <w:rFonts w:asciiTheme="minorHAnsi" w:hAnsiTheme="minorHAnsi" w:cstheme="minorHAnsi"/>
          <w:b/>
          <w:bCs/>
          <w:lang w:val="hr-HR" w:eastAsia="hr-HR"/>
        </w:rPr>
        <w:t>B. RAČUN FINANCIRANJA</w:t>
      </w:r>
    </w:p>
    <w:tbl>
      <w:tblPr>
        <w:tblW w:w="4939" w:type="pct"/>
        <w:tblLook w:val="04A0" w:firstRow="1" w:lastRow="0" w:firstColumn="1" w:lastColumn="0" w:noHBand="0" w:noVBand="1"/>
      </w:tblPr>
      <w:tblGrid>
        <w:gridCol w:w="648"/>
        <w:gridCol w:w="6066"/>
        <w:gridCol w:w="1727"/>
        <w:gridCol w:w="178"/>
        <w:gridCol w:w="1603"/>
        <w:gridCol w:w="2007"/>
        <w:gridCol w:w="2165"/>
      </w:tblGrid>
      <w:tr w:rsidR="0008189E" w:rsidRPr="00E42377" w14:paraId="0303E0DA" w14:textId="77777777" w:rsidTr="0008189E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F0028" w14:textId="77777777" w:rsidR="0008189E" w:rsidRPr="00E42377" w:rsidRDefault="0008189E" w:rsidP="00C40B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Raz./ Sku.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45C6D5" w14:textId="77777777" w:rsidR="0008189E" w:rsidRPr="00E42377" w:rsidRDefault="0008189E" w:rsidP="00C40B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334CB94E" w14:textId="49662F85" w:rsidR="0008189E" w:rsidRDefault="0008189E" w:rsidP="00C40B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PLAN </w:t>
            </w:r>
          </w:p>
          <w:p w14:paraId="52EDC80C" w14:textId="17CD1FE1" w:rsidR="0008189E" w:rsidRPr="00C40BCB" w:rsidRDefault="0008189E" w:rsidP="00C40B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(KN)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14241FFC" w14:textId="71BDC21F" w:rsidR="0008189E" w:rsidRPr="00C40BCB" w:rsidRDefault="0008189E" w:rsidP="00C40B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 2023.(EUR)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7205E03" w14:textId="709EB8CA" w:rsidR="0008189E" w:rsidRPr="00C40BCB" w:rsidRDefault="0008189E" w:rsidP="00C40B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2024.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FC350E8" w14:textId="01EC985F" w:rsidR="0008189E" w:rsidRPr="00C40BCB" w:rsidRDefault="0008189E" w:rsidP="00C40B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2025.</w:t>
            </w:r>
          </w:p>
        </w:tc>
      </w:tr>
      <w:tr w:rsidR="0008189E" w:rsidRPr="00E42377" w14:paraId="5A76EDD9" w14:textId="77777777" w:rsidTr="0008189E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584725ED" w14:textId="77777777" w:rsidR="0008189E" w:rsidRPr="00E42377" w:rsidRDefault="0008189E" w:rsidP="003C258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3C86C738" w14:textId="77777777" w:rsidR="0008189E" w:rsidRPr="00E42377" w:rsidRDefault="0008189E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6DE9208E" w14:textId="12FC8D6A" w:rsidR="0008189E" w:rsidRPr="00E42377" w:rsidRDefault="0008189E" w:rsidP="003C2586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19C1A206" w14:textId="23F15D15" w:rsidR="0008189E" w:rsidRPr="00451462" w:rsidRDefault="0008189E" w:rsidP="00451462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pct"/>
            <w:shd w:val="clear" w:color="auto" w:fill="8DB3E2" w:themeFill="text2" w:themeFillTint="66"/>
          </w:tcPr>
          <w:p w14:paraId="52968167" w14:textId="640C1AF0" w:rsidR="0008189E" w:rsidRPr="00451462" w:rsidRDefault="0008189E" w:rsidP="00451462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72EF29A0" w14:textId="0A285724" w:rsidR="0008189E" w:rsidRPr="00451462" w:rsidRDefault="0008189E" w:rsidP="003C2586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-</w:t>
            </w:r>
          </w:p>
        </w:tc>
      </w:tr>
      <w:tr w:rsidR="0008189E" w:rsidRPr="00E42377" w14:paraId="639E2CFB" w14:textId="77777777" w:rsidTr="0008189E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1F8F83E3" w14:textId="77777777" w:rsidR="0008189E" w:rsidRPr="00E42377" w:rsidRDefault="0008189E" w:rsidP="003C2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5FC35E13" w14:textId="77777777" w:rsidR="0008189E" w:rsidRPr="00E42377" w:rsidRDefault="0008189E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Izdaci za dane zajmove i depozite</w:t>
            </w:r>
          </w:p>
        </w:tc>
        <w:tc>
          <w:tcPr>
            <w:tcW w:w="600" w:type="pct"/>
          </w:tcPr>
          <w:p w14:paraId="54D04DC5" w14:textId="0324C501" w:rsidR="0008189E" w:rsidRPr="00E42377" w:rsidRDefault="0008189E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7EDF0C2A" w14:textId="37D1D990" w:rsidR="0008189E" w:rsidRPr="00451462" w:rsidRDefault="0008189E" w:rsidP="00451462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7" w:type="pct"/>
            <w:shd w:val="clear" w:color="auto" w:fill="auto"/>
          </w:tcPr>
          <w:p w14:paraId="41845744" w14:textId="20E92E08" w:rsidR="0008189E" w:rsidRPr="00451462" w:rsidRDefault="0008189E" w:rsidP="00451462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D14A8FE" w14:textId="4B0C81AE" w:rsidR="0008189E" w:rsidRPr="00E42377" w:rsidRDefault="0008189E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-</w:t>
            </w:r>
          </w:p>
        </w:tc>
      </w:tr>
      <w:tr w:rsidR="0008189E" w:rsidRPr="00E42377" w14:paraId="510FCD0E" w14:textId="77777777" w:rsidTr="0008189E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463078B8" w14:textId="77777777" w:rsidR="0008189E" w:rsidRPr="00E42377" w:rsidRDefault="0008189E" w:rsidP="003C2586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4C93F506" w14:textId="77777777" w:rsidR="0008189E" w:rsidRPr="00E42377" w:rsidRDefault="0008189E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Izdaci za depozite i jamčevne pologe </w:t>
            </w:r>
          </w:p>
        </w:tc>
        <w:tc>
          <w:tcPr>
            <w:tcW w:w="600" w:type="pct"/>
          </w:tcPr>
          <w:p w14:paraId="1611CA31" w14:textId="3B3F85C2" w:rsidR="0008189E" w:rsidRPr="00E42377" w:rsidRDefault="0008189E" w:rsidP="003C2586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0D5013D2" w14:textId="19E5568B" w:rsidR="0008189E" w:rsidRPr="00451462" w:rsidRDefault="0008189E" w:rsidP="00451462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697" w:type="pct"/>
            <w:shd w:val="clear" w:color="auto" w:fill="auto"/>
          </w:tcPr>
          <w:p w14:paraId="57A990A4" w14:textId="2C97AD3E" w:rsidR="0008189E" w:rsidRPr="00451462" w:rsidRDefault="0008189E" w:rsidP="00451462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F1EB673" w14:textId="39D7D092" w:rsidR="0008189E" w:rsidRPr="00E42377" w:rsidRDefault="0008189E" w:rsidP="003C2586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-</w:t>
            </w:r>
          </w:p>
        </w:tc>
      </w:tr>
      <w:tr w:rsidR="0008189E" w:rsidRPr="00E42377" w14:paraId="23E77A96" w14:textId="77777777" w:rsidTr="0008189E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65E055C" w14:textId="53F370C1" w:rsidR="0008189E" w:rsidRPr="00E42377" w:rsidRDefault="0008189E" w:rsidP="003C2586">
            <w:pPr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2107" w:type="pct"/>
            <w:shd w:val="clear" w:color="auto" w:fill="auto"/>
          </w:tcPr>
          <w:p w14:paraId="600057C9" w14:textId="57734CFA" w:rsidR="0008189E" w:rsidRPr="00E42377" w:rsidRDefault="0008189E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  <w:t>Izdaci za otplatu glavnice primljenih kredita i zajmova</w:t>
            </w:r>
          </w:p>
        </w:tc>
        <w:tc>
          <w:tcPr>
            <w:tcW w:w="600" w:type="pct"/>
          </w:tcPr>
          <w:p w14:paraId="687D1E06" w14:textId="06361307" w:rsidR="0008189E" w:rsidRPr="00E42377" w:rsidRDefault="0008189E" w:rsidP="00C636F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49D0C01B" w14:textId="12E27DAD" w:rsidR="0008189E" w:rsidRPr="00E42377" w:rsidRDefault="0008189E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97" w:type="pct"/>
            <w:shd w:val="clear" w:color="auto" w:fill="auto"/>
          </w:tcPr>
          <w:p w14:paraId="22F5CBDC" w14:textId="51DDF02D" w:rsidR="0008189E" w:rsidRPr="00E42377" w:rsidRDefault="0008189E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A9A7E2E" w14:textId="0B0EC692" w:rsidR="0008189E" w:rsidRPr="00E42377" w:rsidRDefault="0008189E" w:rsidP="003C2586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-</w:t>
            </w:r>
          </w:p>
        </w:tc>
      </w:tr>
      <w:tr w:rsidR="0008189E" w:rsidRPr="00E42377" w14:paraId="04F1F6E6" w14:textId="77777777" w:rsidTr="0008189E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663A63D5" w14:textId="77777777" w:rsidR="0008189E" w:rsidRPr="00E42377" w:rsidRDefault="0008189E" w:rsidP="009D79FF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2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6914C2BC" w14:textId="77777777" w:rsidR="0008189E" w:rsidRPr="00E42377" w:rsidRDefault="0008189E" w:rsidP="009D79FF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168E34CE" w14:textId="529B752C" w:rsidR="0008189E" w:rsidRPr="00E42377" w:rsidRDefault="0008189E" w:rsidP="009D79FF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12.845.415,00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43809367" w14:textId="1798A048" w:rsidR="0008189E" w:rsidRPr="00451462" w:rsidRDefault="0008189E" w:rsidP="009D79FF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562D32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1.704.880</w:t>
            </w:r>
          </w:p>
        </w:tc>
        <w:tc>
          <w:tcPr>
            <w:tcW w:w="697" w:type="pct"/>
            <w:shd w:val="clear" w:color="auto" w:fill="8DB3E2" w:themeFill="text2" w:themeFillTint="66"/>
            <w:hideMark/>
          </w:tcPr>
          <w:p w14:paraId="77B7EA55" w14:textId="438579BD" w:rsidR="0008189E" w:rsidRPr="00E42377" w:rsidRDefault="0008189E" w:rsidP="009D79FF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C40BCB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1.327.228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65A5B184" w14:textId="4E4E69C6" w:rsidR="0008189E" w:rsidRPr="00451462" w:rsidRDefault="0008189E" w:rsidP="009D79FF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-</w:t>
            </w:r>
          </w:p>
        </w:tc>
      </w:tr>
      <w:tr w:rsidR="0008189E" w:rsidRPr="00E42377" w14:paraId="69E14449" w14:textId="77777777" w:rsidTr="0008189E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51997E17" w14:textId="77777777" w:rsidR="0008189E" w:rsidRPr="00E42377" w:rsidRDefault="0008189E" w:rsidP="009D79F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08871C77" w14:textId="77777777" w:rsidR="0008189E" w:rsidRPr="00E42377" w:rsidRDefault="0008189E" w:rsidP="009D79F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 i depozita</w:t>
            </w:r>
          </w:p>
        </w:tc>
        <w:tc>
          <w:tcPr>
            <w:tcW w:w="600" w:type="pct"/>
          </w:tcPr>
          <w:p w14:paraId="71167C0C" w14:textId="213D9250" w:rsidR="0008189E" w:rsidRPr="00E42377" w:rsidRDefault="0008189E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562D3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12.845.415,00</w:t>
            </w:r>
          </w:p>
        </w:tc>
        <w:tc>
          <w:tcPr>
            <w:tcW w:w="619" w:type="pct"/>
            <w:gridSpan w:val="2"/>
          </w:tcPr>
          <w:p w14:paraId="3E8E5E17" w14:textId="4A023CA8" w:rsidR="0008189E" w:rsidRPr="00451462" w:rsidRDefault="0008189E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562D3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1.704.880</w:t>
            </w:r>
          </w:p>
        </w:tc>
        <w:tc>
          <w:tcPr>
            <w:tcW w:w="697" w:type="pct"/>
            <w:shd w:val="clear" w:color="auto" w:fill="auto"/>
            <w:hideMark/>
          </w:tcPr>
          <w:p w14:paraId="2214925C" w14:textId="767D6AB5" w:rsidR="0008189E" w:rsidRPr="00E42377" w:rsidRDefault="0008189E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C40BCB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1.327.228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A3F8913" w14:textId="00EB882C" w:rsidR="0008189E" w:rsidRPr="00E42377" w:rsidRDefault="0008189E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-</w:t>
            </w:r>
          </w:p>
        </w:tc>
      </w:tr>
      <w:tr w:rsidR="0008189E" w:rsidRPr="00E42377" w14:paraId="44014CA2" w14:textId="77777777" w:rsidTr="0008189E">
        <w:trPr>
          <w:trHeight w:val="221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0205A3FA" w14:textId="77777777" w:rsidR="0008189E" w:rsidRPr="00E42377" w:rsidRDefault="0008189E" w:rsidP="009D79FF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818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2D70602C" w14:textId="77777777" w:rsidR="0008189E" w:rsidRPr="00E42377" w:rsidRDefault="0008189E" w:rsidP="009D79FF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Primici od povrata depozita i jamčevnih pologa</w:t>
            </w:r>
          </w:p>
        </w:tc>
        <w:tc>
          <w:tcPr>
            <w:tcW w:w="600" w:type="pct"/>
          </w:tcPr>
          <w:p w14:paraId="0ABE7579" w14:textId="0516441C" w:rsidR="0008189E" w:rsidRPr="00E42377" w:rsidRDefault="0008189E" w:rsidP="009D79FF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562D32">
              <w:rPr>
                <w:rFonts w:asciiTheme="minorHAnsi" w:hAnsiTheme="minorHAnsi"/>
                <w:sz w:val="20"/>
                <w:szCs w:val="20"/>
                <w:lang w:val="hr-HR"/>
              </w:rPr>
              <w:t>12.845.415,00</w:t>
            </w:r>
          </w:p>
        </w:tc>
        <w:tc>
          <w:tcPr>
            <w:tcW w:w="619" w:type="pct"/>
            <w:gridSpan w:val="2"/>
          </w:tcPr>
          <w:p w14:paraId="38220691" w14:textId="4E713FAE" w:rsidR="0008189E" w:rsidRPr="00E42377" w:rsidRDefault="0008189E" w:rsidP="009D79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562D3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1.704.880</w:t>
            </w:r>
          </w:p>
        </w:tc>
        <w:tc>
          <w:tcPr>
            <w:tcW w:w="697" w:type="pct"/>
            <w:shd w:val="clear" w:color="auto" w:fill="auto"/>
          </w:tcPr>
          <w:p w14:paraId="19004758" w14:textId="0E45F2FC" w:rsidR="0008189E" w:rsidRPr="00E42377" w:rsidRDefault="0008189E" w:rsidP="009D79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C40BCB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1.327.228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ABDAFA5" w14:textId="0044D940" w:rsidR="0008189E" w:rsidRPr="00E42377" w:rsidRDefault="0008189E" w:rsidP="009D79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</w:p>
        </w:tc>
      </w:tr>
      <w:bookmarkEnd w:id="2"/>
      <w:tr w:rsidR="0008189E" w:rsidRPr="00E42377" w14:paraId="1A6EC941" w14:textId="77777777" w:rsidTr="0008189E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5B2B2C30" w14:textId="7D6AB5F7" w:rsidR="0008189E" w:rsidRPr="00E42377" w:rsidRDefault="0008189E" w:rsidP="003B586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224B215B" w14:textId="4C9EC481" w:rsidR="0008189E" w:rsidRPr="00E42377" w:rsidRDefault="0008189E" w:rsidP="003B586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600" w:type="pct"/>
          </w:tcPr>
          <w:p w14:paraId="5FCDA092" w14:textId="497D432F" w:rsidR="0008189E" w:rsidRPr="00E42377" w:rsidRDefault="0008189E" w:rsidP="003B586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43B614A9" w14:textId="54FD09AD" w:rsidR="0008189E" w:rsidRPr="00E42377" w:rsidRDefault="0008189E" w:rsidP="003B586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</w:t>
            </w:r>
          </w:p>
        </w:tc>
        <w:tc>
          <w:tcPr>
            <w:tcW w:w="697" w:type="pct"/>
            <w:shd w:val="clear" w:color="auto" w:fill="auto"/>
            <w:hideMark/>
          </w:tcPr>
          <w:p w14:paraId="6E95DE8C" w14:textId="0C62C1EB" w:rsidR="0008189E" w:rsidRPr="00E42377" w:rsidRDefault="0008189E" w:rsidP="003B586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6879514" w14:textId="617ED436" w:rsidR="0008189E" w:rsidRPr="00E42377" w:rsidRDefault="0008189E" w:rsidP="003B586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-</w:t>
            </w:r>
          </w:p>
        </w:tc>
      </w:tr>
    </w:tbl>
    <w:p w14:paraId="00E5B713" w14:textId="177C385E" w:rsidR="002E629C" w:rsidRDefault="002E629C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2870F8F" w14:textId="77777777" w:rsidR="002E629C" w:rsidRPr="002E629C" w:rsidRDefault="002E629C" w:rsidP="002E629C">
      <w:pPr>
        <w:rPr>
          <w:lang w:val="hr-HR"/>
        </w:rPr>
      </w:pPr>
    </w:p>
    <w:p w14:paraId="62015536" w14:textId="77777777" w:rsidR="002E629C" w:rsidRPr="002E629C" w:rsidRDefault="002E629C" w:rsidP="002E629C">
      <w:pPr>
        <w:rPr>
          <w:lang w:val="hr-HR"/>
        </w:rPr>
      </w:pPr>
    </w:p>
    <w:p w14:paraId="349BFDEE" w14:textId="7C39ECF4" w:rsidR="002E629C" w:rsidRDefault="002E629C" w:rsidP="002E629C">
      <w:pPr>
        <w:rPr>
          <w:bCs/>
          <w:iCs/>
          <w:lang w:val="hr-HR"/>
        </w:rPr>
      </w:pPr>
    </w:p>
    <w:p w14:paraId="55443F48" w14:textId="4ABFCAC6" w:rsidR="002E629C" w:rsidRDefault="002E629C" w:rsidP="002E629C">
      <w:pPr>
        <w:rPr>
          <w:bCs/>
          <w:iCs/>
          <w:lang w:val="hr-HR"/>
        </w:rPr>
      </w:pPr>
    </w:p>
    <w:p w14:paraId="3AD2DE67" w14:textId="7079EA75" w:rsidR="002E629C" w:rsidRDefault="002E629C" w:rsidP="002E629C">
      <w:pPr>
        <w:rPr>
          <w:bCs/>
          <w:iCs/>
          <w:lang w:val="hr-HR"/>
        </w:rPr>
      </w:pPr>
    </w:p>
    <w:p w14:paraId="102478BA" w14:textId="28BB1E3F" w:rsidR="002E629C" w:rsidRDefault="002E629C" w:rsidP="002E629C">
      <w:pPr>
        <w:rPr>
          <w:bCs/>
          <w:iCs/>
          <w:lang w:val="hr-HR"/>
        </w:rPr>
      </w:pPr>
    </w:p>
    <w:p w14:paraId="2D841335" w14:textId="7FB73797" w:rsidR="002E629C" w:rsidRDefault="002E629C" w:rsidP="002E629C">
      <w:pPr>
        <w:rPr>
          <w:bCs/>
          <w:iCs/>
          <w:lang w:val="hr-HR"/>
        </w:rPr>
      </w:pPr>
    </w:p>
    <w:p w14:paraId="32DCA3DA" w14:textId="15FD9A49" w:rsidR="002E629C" w:rsidRPr="00A10BFC" w:rsidRDefault="00A10BFC" w:rsidP="00A10BF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t>POSEBNI DIO</w:t>
      </w:r>
    </w:p>
    <w:p w14:paraId="07AD0DAD" w14:textId="77777777" w:rsidR="00323F6A" w:rsidRPr="00E42377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2</w:t>
      </w:r>
    </w:p>
    <w:p w14:paraId="14D8100C" w14:textId="77777777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4F25B0D" w14:textId="00F3678C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E42377">
        <w:rPr>
          <w:bCs/>
          <w:iCs/>
          <w:lang w:val="hr-HR"/>
        </w:rPr>
        <w:t>Rashodi Proračuna za 20</w:t>
      </w:r>
      <w:r w:rsidR="005A451C" w:rsidRPr="00E42377">
        <w:rPr>
          <w:bCs/>
          <w:iCs/>
          <w:lang w:val="hr-HR"/>
        </w:rPr>
        <w:t>2</w:t>
      </w:r>
      <w:r w:rsidR="003B1478">
        <w:rPr>
          <w:bCs/>
          <w:iCs/>
          <w:lang w:val="hr-HR"/>
        </w:rPr>
        <w:t>3</w:t>
      </w:r>
      <w:r w:rsidRPr="00E42377">
        <w:rPr>
          <w:bCs/>
          <w:iCs/>
          <w:lang w:val="hr-HR"/>
        </w:rPr>
        <w:t>. godinu iskazani prema organizacijskoj, programskoj, ekonomskoj, funkcijskoj  klasifikaciji,</w:t>
      </w:r>
      <w:r w:rsidRPr="00E42377">
        <w:rPr>
          <w:lang w:val="hr-HR"/>
        </w:rPr>
        <w:t xml:space="preserve"> i izvorima financiranja </w:t>
      </w:r>
      <w:r w:rsidRPr="00E42377">
        <w:rPr>
          <w:bCs/>
          <w:iCs/>
          <w:lang w:val="hr-HR"/>
        </w:rPr>
        <w:t>raspoređuju se po nositeljima i korisnicima u Posebnom dijelu Proračuna kako slijedi:</w:t>
      </w:r>
    </w:p>
    <w:p w14:paraId="05D9B741" w14:textId="3FEC59F4" w:rsidR="003B1478" w:rsidRDefault="003B1478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45005BA4" w14:textId="77777777" w:rsidR="00486EDB" w:rsidRPr="00486EDB" w:rsidRDefault="00486EDB" w:rsidP="00486E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2"/>
          <w:szCs w:val="22"/>
          <w:lang w:val="hr-HR"/>
        </w:rPr>
      </w:pPr>
      <w:r w:rsidRPr="00486EDB">
        <w:rPr>
          <w:rFonts w:asciiTheme="minorHAnsi" w:hAnsiTheme="minorHAnsi" w:cstheme="minorHAnsi"/>
          <w:bCs/>
          <w:iCs/>
          <w:sz w:val="22"/>
          <w:szCs w:val="22"/>
          <w:lang w:val="hr-HR"/>
        </w:rPr>
        <w:t>Razdjel /</w:t>
      </w:r>
    </w:p>
    <w:p w14:paraId="6943B074" w14:textId="22303D65" w:rsidR="00B62F00" w:rsidRDefault="00486EDB" w:rsidP="00486E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2"/>
          <w:szCs w:val="22"/>
          <w:lang w:val="hr-HR"/>
        </w:rPr>
      </w:pPr>
      <w:r w:rsidRPr="00486EDB">
        <w:rPr>
          <w:rFonts w:asciiTheme="minorHAnsi" w:hAnsiTheme="minorHAnsi" w:cstheme="minorHAnsi"/>
          <w:bCs/>
          <w:iCs/>
          <w:sz w:val="22"/>
          <w:szCs w:val="22"/>
          <w:lang w:val="hr-HR"/>
        </w:rPr>
        <w:t>Aktivnosr</w:t>
      </w:r>
      <w:r w:rsidRPr="00486EDB">
        <w:rPr>
          <w:rFonts w:asciiTheme="minorHAnsi" w:hAnsiTheme="minorHAnsi" w:cstheme="minorHAnsi"/>
          <w:bCs/>
          <w:iCs/>
          <w:sz w:val="22"/>
          <w:szCs w:val="22"/>
          <w:lang w:val="hr-HR"/>
        </w:rPr>
        <w:tab/>
        <w:t>Konto</w:t>
      </w:r>
      <w:r w:rsidRPr="00486EDB">
        <w:rPr>
          <w:rFonts w:asciiTheme="minorHAnsi" w:hAnsiTheme="minorHAnsi" w:cstheme="minorHAnsi"/>
          <w:bCs/>
          <w:iCs/>
          <w:sz w:val="22"/>
          <w:szCs w:val="22"/>
          <w:lang w:val="hr-HR"/>
        </w:rPr>
        <w:tab/>
        <w:t xml:space="preserve">Naziv                                                                                            </w:t>
      </w:r>
      <w:r>
        <w:rPr>
          <w:rFonts w:asciiTheme="minorHAnsi" w:hAnsiTheme="minorHAnsi" w:cstheme="minorHAnsi"/>
          <w:bCs/>
          <w:iCs/>
          <w:sz w:val="22"/>
          <w:szCs w:val="22"/>
          <w:lang w:val="hr-HR"/>
        </w:rPr>
        <w:t xml:space="preserve">   </w:t>
      </w:r>
      <w:r w:rsidRPr="00486EDB">
        <w:rPr>
          <w:rFonts w:asciiTheme="minorHAnsi" w:hAnsiTheme="minorHAnsi" w:cstheme="minorHAnsi"/>
          <w:bCs/>
          <w:iCs/>
          <w:sz w:val="22"/>
          <w:szCs w:val="22"/>
          <w:lang w:val="hr-HR"/>
        </w:rPr>
        <w:t xml:space="preserve"> </w:t>
      </w:r>
      <w:r w:rsidR="005046BA">
        <w:rPr>
          <w:rFonts w:asciiTheme="minorHAnsi" w:hAnsiTheme="minorHAnsi" w:cstheme="minorHAnsi"/>
          <w:bCs/>
          <w:iCs/>
          <w:sz w:val="22"/>
          <w:szCs w:val="22"/>
          <w:lang w:val="hr-HR"/>
        </w:rPr>
        <w:t xml:space="preserve">                      </w:t>
      </w:r>
      <w:r w:rsidRPr="00486EDB">
        <w:rPr>
          <w:rFonts w:asciiTheme="minorHAnsi" w:hAnsiTheme="minorHAnsi" w:cstheme="minorHAnsi"/>
          <w:bCs/>
          <w:iCs/>
          <w:sz w:val="22"/>
          <w:szCs w:val="22"/>
          <w:lang w:val="hr-HR"/>
        </w:rPr>
        <w:t xml:space="preserve">  Plan 2023. (KN)</w:t>
      </w:r>
      <w:r w:rsidRPr="00486EDB">
        <w:rPr>
          <w:rFonts w:asciiTheme="minorHAnsi" w:hAnsiTheme="minorHAnsi" w:cstheme="minorHAnsi"/>
          <w:bCs/>
          <w:iCs/>
          <w:sz w:val="22"/>
          <w:szCs w:val="22"/>
          <w:lang w:val="hr-HR"/>
        </w:rPr>
        <w:tab/>
        <w:t xml:space="preserve">                                        Plan 2023. (EUR)</w:t>
      </w:r>
    </w:p>
    <w:p w14:paraId="2FB020BD" w14:textId="77777777" w:rsidR="005046BA" w:rsidRPr="00486EDB" w:rsidRDefault="005046BA" w:rsidP="00486E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2"/>
          <w:szCs w:val="22"/>
          <w:lang w:val="hr-HR"/>
        </w:rPr>
      </w:pPr>
    </w:p>
    <w:tbl>
      <w:tblPr>
        <w:tblW w:w="14573" w:type="dxa"/>
        <w:tblLook w:val="04A0" w:firstRow="1" w:lastRow="0" w:firstColumn="1" w:lastColumn="0" w:noHBand="0" w:noVBand="1"/>
      </w:tblPr>
      <w:tblGrid>
        <w:gridCol w:w="723"/>
        <w:gridCol w:w="589"/>
        <w:gridCol w:w="6498"/>
        <w:gridCol w:w="640"/>
        <w:gridCol w:w="70"/>
        <w:gridCol w:w="142"/>
        <w:gridCol w:w="1409"/>
        <w:gridCol w:w="2135"/>
        <w:gridCol w:w="142"/>
        <w:gridCol w:w="1209"/>
        <w:gridCol w:w="63"/>
        <w:gridCol w:w="953"/>
      </w:tblGrid>
      <w:tr w:rsidR="006B6BBB" w:rsidRPr="006B6BBB" w14:paraId="0F2D053F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35454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8B09D9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A99DAE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URED NAČELNIKA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B6ED8B5" w14:textId="336D20CB" w:rsidR="006B6BBB" w:rsidRPr="006B6BBB" w:rsidRDefault="00401134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</w:t>
            </w:r>
            <w:r w:rsidR="006B6BBB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67C71F8" w14:textId="58B658FE" w:rsidR="006B6BBB" w:rsidRPr="006B6BBB" w:rsidRDefault="00401134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82.686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15A560F0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2F06A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00101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1FC49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URED NAČELNIKA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C568A2" w14:textId="746D4FBF" w:rsidR="006B6BBB" w:rsidRPr="006B6BBB" w:rsidRDefault="00401134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62</w:t>
            </w:r>
            <w:r w:rsidR="006B6BBB"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94C0D42" w14:textId="7E7DFD47" w:rsidR="006B6BBB" w:rsidRPr="006B6BBB" w:rsidRDefault="00401134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82.686</w:t>
            </w:r>
            <w:r w:rsidR="006B6BBB"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29361FE4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84A75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155BE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735A79" w14:textId="468FE156" w:rsidR="006B6BBB" w:rsidRPr="006B6BBB" w:rsidRDefault="00401134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62</w:t>
            </w:r>
            <w:r w:rsidR="006B6BBB"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A62BE95" w14:textId="2A63F797" w:rsidR="006B6BBB" w:rsidRPr="006B6BBB" w:rsidRDefault="00401134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82.686</w:t>
            </w:r>
            <w:r w:rsidR="006B6BBB"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523626BF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72256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297E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E5A0919" w14:textId="44AA4455" w:rsidR="006B6BBB" w:rsidRPr="006B6BBB" w:rsidRDefault="00401134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</w:t>
            </w:r>
            <w:r w:rsidR="006B6BBB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F1C0D46" w14:textId="54BE6477" w:rsidR="006B6BBB" w:rsidRPr="006B6BBB" w:rsidRDefault="00401134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82.686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0408E92A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951F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495B4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3E71C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9FD3BA" w14:textId="153A2DF9" w:rsidR="006B6BBB" w:rsidRPr="006B6BBB" w:rsidRDefault="00401134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</w:t>
            </w:r>
            <w:r w:rsidR="006B6BBB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8A631C" w14:textId="6DCF4BB5" w:rsidR="006B6BBB" w:rsidRPr="006B6BBB" w:rsidRDefault="00401134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82.686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78BECE3F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E5A86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796CF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58CB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03BAD8" w14:textId="41DF8487" w:rsidR="006B6BBB" w:rsidRPr="006B6BBB" w:rsidRDefault="00401134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</w:t>
            </w:r>
            <w:r w:rsidR="006B6BBB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23C80F" w14:textId="7286DAC6" w:rsidR="006B6BBB" w:rsidRPr="006B6BBB" w:rsidRDefault="00401134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82.686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0A98BA91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B4F2E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9812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7BE4F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0CD6D7" w14:textId="7414171B" w:rsidR="006B6BBB" w:rsidRPr="006B6BBB" w:rsidRDefault="00401134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  <w:r w:rsidR="006B6BBB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9AC587" w14:textId="16F50B91" w:rsidR="006B6BBB" w:rsidRPr="006B6BBB" w:rsidRDefault="00CF38A6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43.268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344C05F2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39FD1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ECF2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D80F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9DC0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BA16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6.238 €</w:t>
            </w:r>
          </w:p>
        </w:tc>
      </w:tr>
      <w:tr w:rsidR="006B6BBB" w:rsidRPr="006B6BBB" w14:paraId="63EB0AB3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8CF5C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BE67A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A612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8D206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1F61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33.181 €</w:t>
            </w:r>
          </w:p>
        </w:tc>
      </w:tr>
      <w:tr w:rsidR="006B6BBB" w:rsidRPr="006B6BBB" w14:paraId="1C670E12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B066B4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04DDB4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5E323B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OPĆINSKO VIJEĆE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5DEF2C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5514DCC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63.707 €</w:t>
            </w:r>
          </w:p>
        </w:tc>
      </w:tr>
      <w:tr w:rsidR="006B6BBB" w:rsidRPr="006B6BBB" w14:paraId="2DEB2338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93967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00201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00297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OPĆINSKO VIJEĆE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E43E36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D785F4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63.707 €</w:t>
            </w:r>
          </w:p>
        </w:tc>
      </w:tr>
      <w:tr w:rsidR="006B6BBB" w:rsidRPr="006B6BBB" w14:paraId="0D053674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B2F6A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AE5B2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7EC079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4EC019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63.707 €</w:t>
            </w:r>
          </w:p>
        </w:tc>
      </w:tr>
      <w:tr w:rsidR="006B6BBB" w:rsidRPr="006B6BBB" w14:paraId="6784EE22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06AFA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8D2CE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E014DB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0F92F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27.208 €</w:t>
            </w:r>
          </w:p>
        </w:tc>
      </w:tr>
      <w:tr w:rsidR="006B6BBB" w:rsidRPr="006B6BBB" w14:paraId="32108351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B06C3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52A7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BDE7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E81778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D283A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27.208 €</w:t>
            </w:r>
          </w:p>
        </w:tc>
      </w:tr>
      <w:tr w:rsidR="006B6BBB" w:rsidRPr="006B6BBB" w14:paraId="0E011C92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8A8D5F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5E524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871C5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566E4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D1504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27.208 €</w:t>
            </w:r>
          </w:p>
        </w:tc>
      </w:tr>
      <w:tr w:rsidR="006B6BBB" w:rsidRPr="006B6BBB" w14:paraId="78E6D3FD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1B4A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D2E0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CCDC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BF9E2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22AA2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27.208 €</w:t>
            </w:r>
          </w:p>
        </w:tc>
      </w:tr>
      <w:tr w:rsidR="006B6BBB" w:rsidRPr="006B6BBB" w14:paraId="2E43EE49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5F7CB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40FA7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D5434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781EBE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</w:tr>
      <w:tr w:rsidR="006B6BBB" w:rsidRPr="006B6BBB" w14:paraId="747AA1E4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193989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C146D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C85D2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A9BAD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70B91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</w:tr>
      <w:tr w:rsidR="006B6BBB" w:rsidRPr="006B6BBB" w14:paraId="39943C16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19A8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B2A3E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47CEB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D1C92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E970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</w:tr>
      <w:tr w:rsidR="006B6BBB" w:rsidRPr="006B6BBB" w14:paraId="6730381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1E459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1E15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E39C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BF84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0022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</w:tr>
      <w:tr w:rsidR="006B6BBB" w:rsidRPr="006B6BBB" w14:paraId="03105801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E57A1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8A929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274FF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B33F37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4.645 €</w:t>
            </w:r>
          </w:p>
        </w:tc>
      </w:tr>
      <w:tr w:rsidR="006B6BBB" w:rsidRPr="006B6BBB" w14:paraId="53ACBBE9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CD92F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F4AA1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EA9F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3B791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A24E9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4.645 €</w:t>
            </w:r>
          </w:p>
        </w:tc>
      </w:tr>
      <w:tr w:rsidR="006B6BBB" w:rsidRPr="006B6BBB" w14:paraId="506A4F10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B1AC1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22DA8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26121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8F98F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EB716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4.645 €</w:t>
            </w:r>
          </w:p>
        </w:tc>
      </w:tr>
      <w:tr w:rsidR="006B6BBB" w:rsidRPr="006B6BBB" w14:paraId="2CCFE5B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8001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D74B3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C676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C8852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9312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4.645 €</w:t>
            </w:r>
          </w:p>
        </w:tc>
      </w:tr>
      <w:tr w:rsidR="006B6BBB" w:rsidRPr="006B6BBB" w14:paraId="4BBE5296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AD301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A2000 04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1AD78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Mjesni odborI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CBCCA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276343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22.563 €</w:t>
            </w:r>
          </w:p>
        </w:tc>
      </w:tr>
      <w:tr w:rsidR="006B6BBB" w:rsidRPr="006B6BBB" w14:paraId="59F2729D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73233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A4C2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E8018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8E987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7AF41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22.563 €</w:t>
            </w:r>
          </w:p>
        </w:tc>
      </w:tr>
      <w:tr w:rsidR="006B6BBB" w:rsidRPr="006B6BBB" w14:paraId="763B5D29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23D8A9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3BAD4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7252A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D8D74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C7DB7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22.563 €</w:t>
            </w:r>
          </w:p>
        </w:tc>
      </w:tr>
      <w:tr w:rsidR="006B6BBB" w:rsidRPr="006B6BBB" w14:paraId="7EA90F78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1F48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BF3BB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6265F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EEC56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186A0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</w:tr>
      <w:tr w:rsidR="006B6BBB" w:rsidRPr="006B6BBB" w14:paraId="298108A5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368F4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9E23F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D5C37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Naknade građ. i kućan. na temelju osig. i druge naknade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B7BFA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0942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</w:tr>
      <w:tr w:rsidR="006B6BBB" w:rsidRPr="006B6BBB" w14:paraId="65EB1CB6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355F4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962A7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E8367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PRAVNE POSLOVE I STRATEŠKO UPRAVLJANJE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7DD97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4.976.000,00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D0C24C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660.429 €</w:t>
            </w:r>
          </w:p>
        </w:tc>
      </w:tr>
      <w:tr w:rsidR="006B6BBB" w:rsidRPr="006B6BBB" w14:paraId="439CA968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7B9641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00301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415E0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PRAVNE POSLOVE I STRATEŠKO UPRAVLJANJE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C1420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4.976.000,00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D0F00B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660.429 €</w:t>
            </w:r>
          </w:p>
        </w:tc>
      </w:tr>
      <w:tr w:rsidR="006B6BBB" w:rsidRPr="006B6BBB" w14:paraId="40536572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1BC4B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5744D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F9300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4.976.000,00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8B4EF7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660.429 €</w:t>
            </w:r>
          </w:p>
        </w:tc>
      </w:tr>
      <w:tr w:rsidR="006B6BBB" w:rsidRPr="006B6BBB" w14:paraId="2FD4C17C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67AF9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C8F4C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663287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2.471.000,00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5155E7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327.958 €</w:t>
            </w:r>
          </w:p>
        </w:tc>
      </w:tr>
      <w:tr w:rsidR="006B6BBB" w:rsidRPr="006B6BBB" w14:paraId="4B0CBEE9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0F80E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CFC82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E2B2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0B413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2.471.000,00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D22CC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327.958 €</w:t>
            </w:r>
          </w:p>
        </w:tc>
      </w:tr>
      <w:tr w:rsidR="006B6BBB" w:rsidRPr="006B6BBB" w14:paraId="62F94285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04CAB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E1685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6C51E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8F00A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2.471.000,00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18080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327.958 €</w:t>
            </w:r>
          </w:p>
        </w:tc>
      </w:tr>
      <w:tr w:rsidR="006B6BBB" w:rsidRPr="006B6BBB" w14:paraId="065C3F3A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79CED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00145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96DC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9638A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816B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49.771 €</w:t>
            </w:r>
          </w:p>
        </w:tc>
      </w:tr>
      <w:tr w:rsidR="006B6BBB" w:rsidRPr="006B6BBB" w14:paraId="676F49C0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2584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309AB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AB536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BDE8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5A74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93.702 €</w:t>
            </w:r>
          </w:p>
        </w:tc>
      </w:tr>
      <w:tr w:rsidR="006B6BBB" w:rsidRPr="006B6BBB" w14:paraId="293F17FD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6D275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BE1B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0106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61823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CCCF7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181.830 €</w:t>
            </w:r>
          </w:p>
        </w:tc>
      </w:tr>
      <w:tr w:rsidR="006B6BBB" w:rsidRPr="006B6BBB" w14:paraId="2EB0B1A9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881B0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80DAE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5A3B7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8078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35314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</w:tr>
      <w:tr w:rsidR="006B6BBB" w:rsidRPr="006B6BBB" w14:paraId="46BD6156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9C68B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697FB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C56079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B6D2F5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291.327 €</w:t>
            </w:r>
          </w:p>
        </w:tc>
      </w:tr>
      <w:tr w:rsidR="006B6BBB" w:rsidRPr="006B6BBB" w14:paraId="0C4691F8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C067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013F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2AA85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088377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C4C85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291.327 €</w:t>
            </w:r>
          </w:p>
        </w:tc>
      </w:tr>
      <w:tr w:rsidR="006B6BBB" w:rsidRPr="006B6BBB" w14:paraId="2F10F5C8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5A8656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E03E0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B88C0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E1EE9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8C151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291.327 €</w:t>
            </w:r>
          </w:p>
        </w:tc>
      </w:tr>
      <w:tr w:rsidR="006B6BBB" w:rsidRPr="006B6BBB" w14:paraId="5A9F541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B1D3DF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19E02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B9700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0C261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1E473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265.446 €</w:t>
            </w:r>
          </w:p>
        </w:tc>
      </w:tr>
      <w:tr w:rsidR="006B6BBB" w:rsidRPr="006B6BBB" w14:paraId="3F4ACF4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6AA06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99187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4B6C4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6001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BD53F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25.881 €</w:t>
            </w:r>
          </w:p>
        </w:tc>
      </w:tr>
      <w:tr w:rsidR="006B6BBB" w:rsidRPr="006B6BBB" w14:paraId="266295B1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FF62A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78D53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9A24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DF3A08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27.208 €</w:t>
            </w:r>
          </w:p>
        </w:tc>
      </w:tr>
      <w:tr w:rsidR="006B6BBB" w:rsidRPr="006B6BBB" w14:paraId="748599DF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56CB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F7570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D399F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C759F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D28D5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27.208 €</w:t>
            </w:r>
          </w:p>
        </w:tc>
      </w:tr>
      <w:tr w:rsidR="006B6BBB" w:rsidRPr="006B6BBB" w14:paraId="28DCD1D0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6CFA9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6795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FA4D4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72B57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A8840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27.208 €</w:t>
            </w:r>
          </w:p>
        </w:tc>
      </w:tr>
      <w:tr w:rsidR="006B6BBB" w:rsidRPr="006B6BBB" w14:paraId="50A09A6E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9DBE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26D1E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4ED38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672C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E431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</w:tr>
      <w:tr w:rsidR="006B6BBB" w:rsidRPr="006B6BBB" w14:paraId="35B7C2BE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1416E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8002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3A1D2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7C295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BE5B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17.918 €</w:t>
            </w:r>
          </w:p>
        </w:tc>
      </w:tr>
      <w:tr w:rsidR="006B6BBB" w:rsidRPr="006B6BBB" w14:paraId="706D9EC3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B6CE3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T3000 04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11C9A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katastra Gornja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71016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450879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13.936 €</w:t>
            </w:r>
          </w:p>
        </w:tc>
      </w:tr>
      <w:tr w:rsidR="006B6BBB" w:rsidRPr="006B6BBB" w14:paraId="78E75A97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709DE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671C9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C1572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393BC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B6F52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5.973 €</w:t>
            </w:r>
          </w:p>
        </w:tc>
      </w:tr>
      <w:tr w:rsidR="006B6BBB" w:rsidRPr="006B6BBB" w14:paraId="0D8B1BE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8B3E0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D67C9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775B1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EF5DB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A60A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5.973 €</w:t>
            </w:r>
          </w:p>
        </w:tc>
      </w:tr>
      <w:tr w:rsidR="006B6BBB" w:rsidRPr="006B6BBB" w14:paraId="2D9D7449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BAEF3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772F6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632F6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1E753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3569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5.973 €</w:t>
            </w:r>
          </w:p>
        </w:tc>
      </w:tr>
      <w:tr w:rsidR="006B6BBB" w:rsidRPr="006B6BBB" w14:paraId="1DC3649D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82EC6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B4547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18DDF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F079E2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4A0C3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7.963 €</w:t>
            </w:r>
          </w:p>
        </w:tc>
      </w:tr>
      <w:tr w:rsidR="006B6BBB" w:rsidRPr="006B6BBB" w14:paraId="534238CE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F78B36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A48EF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0CF5B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3A52F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E2C3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7.963 €</w:t>
            </w:r>
          </w:p>
        </w:tc>
      </w:tr>
      <w:tr w:rsidR="006B6BBB" w:rsidRPr="006B6BBB" w14:paraId="1D5E607E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8A0AF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D4185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B6EE0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D5E79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21A25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7.963 €</w:t>
            </w:r>
          </w:p>
        </w:tc>
      </w:tr>
      <w:tr w:rsidR="006B6BBB" w:rsidRPr="006B6BBB" w14:paraId="2BF4F0C7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8A876A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DD877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AA2B80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PRORAČUN I FINANCIJE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7B79B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4.829.749,37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7EF8DAF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641.018 €</w:t>
            </w:r>
          </w:p>
        </w:tc>
      </w:tr>
      <w:tr w:rsidR="006B6BBB" w:rsidRPr="006B6BBB" w14:paraId="4E460067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C5BAD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9E8F7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PRORAČUN I FINANCIJE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7F1D64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3B5BDF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278.718 €</w:t>
            </w:r>
          </w:p>
        </w:tc>
      </w:tr>
      <w:tr w:rsidR="006B6BBB" w:rsidRPr="006B6BBB" w14:paraId="339421EF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8A4E6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 xml:space="preserve">   1001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EF91B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B6563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516B7C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278.718 €</w:t>
            </w:r>
          </w:p>
        </w:tc>
      </w:tr>
      <w:tr w:rsidR="006B6BBB" w:rsidRPr="006B6BBB" w14:paraId="01C713A2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697D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5C71B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E836C6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2E3372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74.325 €</w:t>
            </w:r>
          </w:p>
        </w:tc>
      </w:tr>
      <w:tr w:rsidR="006B6BBB" w:rsidRPr="006B6BBB" w14:paraId="58863F84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48E02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CB274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DF49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8CB74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6096C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74.325 €</w:t>
            </w:r>
          </w:p>
        </w:tc>
      </w:tr>
      <w:tr w:rsidR="006B6BBB" w:rsidRPr="006B6BBB" w14:paraId="39595526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3F8D4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1B02C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476CE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29D2A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8235D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74.325 €</w:t>
            </w:r>
          </w:p>
        </w:tc>
      </w:tr>
      <w:tr w:rsidR="006B6BBB" w:rsidRPr="006B6BBB" w14:paraId="41E45623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461EE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DBA1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9851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2275D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F16A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73.661 €</w:t>
            </w:r>
          </w:p>
        </w:tc>
      </w:tr>
      <w:tr w:rsidR="006B6BBB" w:rsidRPr="006B6BBB" w14:paraId="3D469A08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C95E4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3269F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16F32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7C012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442B8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664 €</w:t>
            </w:r>
          </w:p>
        </w:tc>
      </w:tr>
      <w:tr w:rsidR="006B6BBB" w:rsidRPr="006B6BBB" w14:paraId="17B64A83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90036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EEF0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E85391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7EAD9E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204.393 €</w:t>
            </w:r>
          </w:p>
        </w:tc>
      </w:tr>
      <w:tr w:rsidR="006B6BBB" w:rsidRPr="006B6BBB" w14:paraId="2759A28F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554407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1FA27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A8E54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71CA0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35FA56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204.393 €</w:t>
            </w:r>
          </w:p>
        </w:tc>
      </w:tr>
      <w:tr w:rsidR="006B6BBB" w:rsidRPr="006B6BBB" w14:paraId="1FFE2FB3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BE13A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03CC7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C9092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707E3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729D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204.393 €</w:t>
            </w:r>
          </w:p>
        </w:tc>
      </w:tr>
      <w:tr w:rsidR="006B6BBB" w:rsidRPr="006B6BBB" w14:paraId="47871AC9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7897C7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639E8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4CCC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FAE5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1.348.000,00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F986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178.910 €</w:t>
            </w:r>
          </w:p>
        </w:tc>
      </w:tr>
      <w:tr w:rsidR="006B6BBB" w:rsidRPr="006B6BBB" w14:paraId="515B442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1B69A9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B14DA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FD415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12EA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279A6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25.483 €</w:t>
            </w:r>
          </w:p>
        </w:tc>
      </w:tr>
      <w:tr w:rsidR="006B6BBB" w:rsidRPr="006B6BBB" w14:paraId="6BFD11B5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53356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434C66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JAVNA VATROGASNA POSTROJBA OPĆINE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7AD0FC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2.729.749,37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543FAE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362.300 €</w:t>
            </w:r>
          </w:p>
        </w:tc>
      </w:tr>
      <w:tr w:rsidR="006B6BBB" w:rsidRPr="006B6BBB" w14:paraId="59E71765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69D49E2" w14:textId="7F1CAF24" w:rsidR="006B6BBB" w:rsidRPr="006B6BBB" w:rsidRDefault="005B4727" w:rsidP="005B4727">
            <w:pPr>
              <w:ind w:right="-109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50944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B284A2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3B0A47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PRORAČUNSKI KORISNIK: JAVNA VATROGASNA POSTROJBA OPĆINE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7AA21FD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2.729.749,37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14:paraId="38ACD7F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362.300 €</w:t>
            </w:r>
          </w:p>
        </w:tc>
      </w:tr>
      <w:tr w:rsidR="006B6BBB" w:rsidRPr="006B6BBB" w14:paraId="182AC207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795BA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1009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BDE6F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ORGANIZIRANJE I PROVOĐENJE ZAŠTITE I SPAŠAVANJA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B526EA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2.729.749,37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46B6C6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362.300 €</w:t>
            </w:r>
          </w:p>
        </w:tc>
      </w:tr>
      <w:tr w:rsidR="006B6BBB" w:rsidRPr="006B6BBB" w14:paraId="2767C03B" w14:textId="77777777" w:rsidTr="00026EE0">
        <w:trPr>
          <w:gridAfter w:val="2"/>
          <w:wAfter w:w="1016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623DC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A4002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85D0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JVP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7457A5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2.729.749,37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F72EFD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362.300 €</w:t>
            </w:r>
          </w:p>
        </w:tc>
      </w:tr>
      <w:tr w:rsidR="006B6BBB" w:rsidRPr="006B6BBB" w14:paraId="59AEC4D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6690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382A5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BCAAD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3F3ABB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1.882.494,84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10483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249.850 €</w:t>
            </w:r>
          </w:p>
        </w:tc>
      </w:tr>
      <w:tr w:rsidR="006B6BBB" w:rsidRPr="006B6BBB" w14:paraId="48279054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C3213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DCEC2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5D6DF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505AB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1.882.494,84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B440D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249.850 €</w:t>
            </w:r>
          </w:p>
        </w:tc>
      </w:tr>
      <w:tr w:rsidR="006B6BBB" w:rsidRPr="006B6BBB" w14:paraId="0B9E19C4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8D0C4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CDB86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8596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9B1C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1.695.639,23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633C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225.050 €</w:t>
            </w:r>
          </w:p>
        </w:tc>
      </w:tr>
      <w:tr w:rsidR="006B6BBB" w:rsidRPr="006B6BBB" w14:paraId="0BE101FD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4F22F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CF80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C41B6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5B353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186.855,61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15B58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24.800 €</w:t>
            </w:r>
          </w:p>
        </w:tc>
      </w:tr>
      <w:tr w:rsidR="006B6BBB" w:rsidRPr="006B6BBB" w14:paraId="283E196B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5FE9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D4726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35657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8302E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192.129,75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12AB3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25.500 €</w:t>
            </w:r>
          </w:p>
        </w:tc>
      </w:tr>
      <w:tr w:rsidR="006B6BBB" w:rsidRPr="006B6BBB" w14:paraId="79EAB62A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61F48F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F0183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DE095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1A19A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184.595,25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566EE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24.500 €</w:t>
            </w:r>
          </w:p>
        </w:tc>
      </w:tr>
      <w:tr w:rsidR="006B6BBB" w:rsidRPr="006B6BBB" w14:paraId="297D1C8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B665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0EB0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5F8F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5DBC4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184.595,25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CDCB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24.500 €</w:t>
            </w:r>
          </w:p>
        </w:tc>
      </w:tr>
      <w:tr w:rsidR="006B6BBB" w:rsidRPr="006B6BBB" w14:paraId="0DD2F517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BCF13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7D9F7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5BA10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3E3D2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7.534,50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BBC07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1.000 €</w:t>
            </w:r>
          </w:p>
        </w:tc>
      </w:tr>
      <w:tr w:rsidR="006B6BBB" w:rsidRPr="006B6BBB" w14:paraId="2767D5D4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1129C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7BA60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9C6CE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0B7D8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7.534,50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DBEEE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1.000 €</w:t>
            </w:r>
          </w:p>
        </w:tc>
      </w:tr>
      <w:tr w:rsidR="006B6BBB" w:rsidRPr="006B6BBB" w14:paraId="2D35B625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2E04F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E41CA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2CFAD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A06D8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655.124,78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961F2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86.950 €</w:t>
            </w:r>
          </w:p>
        </w:tc>
      </w:tr>
      <w:tr w:rsidR="006B6BBB" w:rsidRPr="006B6BBB" w14:paraId="0D6A521C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96BE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CD5B2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2FBA8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13583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594.848,78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2D358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78.950 €</w:t>
            </w:r>
          </w:p>
        </w:tc>
      </w:tr>
      <w:tr w:rsidR="006B6BBB" w:rsidRPr="006B6BBB" w14:paraId="0579B3D1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CB12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84C26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224A0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E9DE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519.880,50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C529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69.000 €</w:t>
            </w:r>
          </w:p>
        </w:tc>
      </w:tr>
      <w:tr w:rsidR="006B6BBB" w:rsidRPr="006B6BBB" w14:paraId="462A82B0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F4128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78527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013FC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F8A23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68.940,68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74DC0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9.150 €</w:t>
            </w:r>
          </w:p>
        </w:tc>
      </w:tr>
      <w:tr w:rsidR="006B6BBB" w:rsidRPr="006B6BBB" w14:paraId="2F7C5F41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47AF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4E5E8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8E14A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A09F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6.027,60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CA89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800 €</w:t>
            </w:r>
          </w:p>
        </w:tc>
      </w:tr>
      <w:tr w:rsidR="006B6BBB" w:rsidRPr="006B6BBB" w14:paraId="4E4F7993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5F158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C8EE5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6CA92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A2B27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60.276,00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60D0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8.000 €</w:t>
            </w:r>
          </w:p>
        </w:tc>
      </w:tr>
      <w:tr w:rsidR="006B6BBB" w:rsidRPr="006B6BBB" w14:paraId="24F3FA99" w14:textId="77777777" w:rsidTr="00026EE0">
        <w:trPr>
          <w:gridAfter w:val="2"/>
          <w:wAfter w:w="1016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F7CBA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4D8C6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1136F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6AE3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60.276,00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68A4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8.000 €</w:t>
            </w:r>
          </w:p>
        </w:tc>
      </w:tr>
      <w:tr w:rsidR="006B6BBB" w:rsidRPr="006B6BBB" w14:paraId="496F4E5C" w14:textId="77777777" w:rsidTr="00026EE0">
        <w:trPr>
          <w:gridAfter w:val="1"/>
          <w:wAfter w:w="953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EE17E8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BBFA45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0E92D8" w14:textId="77777777" w:rsid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RAZDJEL: UPRAVNI ODJEL ZA JAVNU NABAVU, GOSPODARSTVO, DRUŠTVENE </w:t>
            </w:r>
          </w:p>
          <w:p w14:paraId="32103FEC" w14:textId="50E0AB0B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DJELATNOSTI I EU FONDOVE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71221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17.551.750,00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7334BE24" w14:textId="34C08474" w:rsidR="006B6BBB" w:rsidRPr="006B6BBB" w:rsidRDefault="006B6BBB" w:rsidP="006B6BBB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2.329.518 €</w:t>
            </w:r>
          </w:p>
        </w:tc>
      </w:tr>
      <w:tr w:rsidR="006B6BBB" w:rsidRPr="006B6BBB" w14:paraId="3BADFC04" w14:textId="77777777" w:rsidTr="00026EE0">
        <w:trPr>
          <w:gridAfter w:val="1"/>
          <w:wAfter w:w="953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E1DECD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00501</w:t>
            </w:r>
          </w:p>
        </w:tc>
        <w:tc>
          <w:tcPr>
            <w:tcW w:w="7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D2310D" w14:textId="77777777" w:rsid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GLAVA: UPRAVNI ODJEL ZA JAVNU NABAVU, GOSPODARSTVO, DRUŠTVENE </w:t>
            </w:r>
          </w:p>
          <w:p w14:paraId="6D13267A" w14:textId="4096E4BE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DJELATNOSTI I EU FONDOVE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2B80FA2" w14:textId="63BE3242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</w:t>
            </w: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17.551.750,00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A3C7053" w14:textId="3509D4B6" w:rsidR="006B6BBB" w:rsidRPr="006B6BBB" w:rsidRDefault="006B6BBB" w:rsidP="006B6BBB">
            <w:pPr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 xml:space="preserve">  </w:t>
            </w: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2.329.518 €</w:t>
            </w:r>
          </w:p>
        </w:tc>
      </w:tr>
      <w:tr w:rsidR="006B6BBB" w:rsidRPr="006B6BBB" w14:paraId="1F151639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A9F37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 xml:space="preserve">   1001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ED865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48030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960.500,00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AA9500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127.480 €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C6FFBA0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3B753F4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024E2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7D89B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118C68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960.500,00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85514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127.480 €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B8B227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927267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1C8E2F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87730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55624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AA7621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685.250,00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6A8CE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90.948 €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CAB77F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934546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FB58E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8D8BA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440D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A76B0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685.250,00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C1512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90.948 €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A53BAD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88ACA6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96BC0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80C6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04CD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50BF5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C8D0A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71.670 €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9F9A06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497FFB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3ECE4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23E37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D8F5D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CDF4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EE75E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19.278 €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02E8B0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2A4FBB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3981C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4333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CA35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iz EU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33E1F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7120B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36.532 €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7FFFD4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BF2CBA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A652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E7DE7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4F404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616F4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608C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36.532 €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EBC616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71D2BD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7C51F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621BD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30B8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D2C2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2C6C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23.890 €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8D0A380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476988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285FE7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F3F79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6EFB9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649C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988D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12.642 €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C44BF9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B4398C5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C69EB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C33E8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FINANCIRANJE PROJEKATA UDRUGA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743751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1EF292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F0B9AE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0D26CD1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487E2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C8E0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81D06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823DC4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2C73F4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E1F7EC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55D5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B0DD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4F3AF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D95D63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48F18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165815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8A0DB0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50987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F5580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3F063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DF627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D18FA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080CF63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A08843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FED7F6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FB1F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4C048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56DC8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56078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86B5E2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F67A362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C42D3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07293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PROGRAM: PREDŠKOLSKI ODGOJ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C3F59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7.800.000,00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9B1BC4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1.035.238 €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290FDD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EB7853F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F3C4D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D4191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D37A2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7.800.000,00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E01C1C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1.035.238 €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47384B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197E57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FAC2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B841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0679B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078069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7.800.000,00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A0E58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1.035.238 €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291773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7BDB12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4A76DF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BF19C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4D068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FFCF4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7.800.000,00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BF515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1.035.238 €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B9FAD06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F8F5AF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41BCE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9737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F6BE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6A73C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6.470.000,00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94A0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858.717 €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DC9BE1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BA8321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A2A7C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C421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50EF7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FF39B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4FB2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176.521 €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13364A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D4269A5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960EF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C8200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JAVNE POTREBE U SPORTU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18246CD" w14:textId="2558391B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</w:t>
            </w:r>
            <w:r w:rsidR="002A07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</w:t>
            </w: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DE2E33C" w14:textId="21AF77DF" w:rsidR="006B6BBB" w:rsidRPr="006B6BBB" w:rsidRDefault="002A07CF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2A07CF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156.878 €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43480E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8D273B5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BDA9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D082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E9655" w14:textId="79A96E62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  <w:r w:rsidR="002A07C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AA36BD" w14:textId="10B27798" w:rsidR="006B6BBB" w:rsidRPr="006B6BBB" w:rsidRDefault="002A07CF" w:rsidP="002A07CF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152.631 €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302ADCE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3CE8EA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AD9F4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C3497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E5632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1A50C6" w14:textId="3E26E4F2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  <w:r w:rsidR="002A07C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09981D7" w14:textId="6C08434F" w:rsidR="006B6BBB" w:rsidRPr="006B6BBB" w:rsidRDefault="002A07CF" w:rsidP="002A07CF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152.631 €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C16DAA3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8AA7D3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42BA8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A0F8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32830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D8E32F" w14:textId="64F88D1C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  <w:r w:rsidR="002A07C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90346E" w14:textId="43E3B602" w:rsidR="006B6BBB" w:rsidRPr="006B6BBB" w:rsidRDefault="002A07CF" w:rsidP="002A07CF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152.631 €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E3815D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D42376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92BC5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4F234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928F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7490B3" w14:textId="2663EC3A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  <w:r w:rsidR="002A07C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FF321" w14:textId="1FBCD94B" w:rsidR="006B6BBB" w:rsidRPr="006B6BBB" w:rsidRDefault="002A07CF" w:rsidP="002A07CF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152.631 €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C7EF323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314D554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53E19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01B3F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"Strožanac"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621CB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FF3943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4.247 €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E8A84C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DAE286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8EE3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70FF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5B5C3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EE13E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7E886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4.247 €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844423E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8E4822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0D62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37A3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5769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033F3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D224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4.247 €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639F7CE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9FDC79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14C9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C2ED9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221D1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C3B83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7F68F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4.247 €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5EB2BD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A22522D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DE1E8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460FD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POTPORA POLJOPRIVREDI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DB5D8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3A133D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1.327 €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A4F2A9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D9E89D8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B7685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2A528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ABFF9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F79572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1.327 €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D11C42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EA2D22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1B0B7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3D8E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F5F03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0E1C7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66E5E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48FE076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B8237E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65005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CB62F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A0C20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412D3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713FB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9A574E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41867D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A67F8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7B1F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2381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5F173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A3D5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ADF504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9E2C9C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53D8E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B5DCA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DFDE3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5CF07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821B8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E673ED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06ED45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637A9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2952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019A2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842DB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DB04B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E500F7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5287EF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44A8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3CA0E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5485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E4C83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27A1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772AB7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837542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D9AE2C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9FAD67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027BD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JAČANJE GOSPODARSTVA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5563B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7DFF67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4.645 €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5FF24E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0725B97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A4831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07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46975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Ulaganje u razvoj MSP-ova putem PC "Scala d.o.o."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280FF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1F83A4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4.645 €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AE0E30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69449F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30646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87C3B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6D161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Donacije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F4F72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BB412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4.645 €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5BE74D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1ADDE3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E78DD6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39084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FEAAA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E6EC3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FEDF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4.645 €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357FDB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2A9EFA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2409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E5AB1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E0717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6D7DE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82FB8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4.645 €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0F92FC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302E6E1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5BD32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9BF5D5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SOCIJALNA SKRB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6C05CE" w14:textId="5541F58D" w:rsidR="006B6BBB" w:rsidRPr="006B6BBB" w:rsidRDefault="00F021B1" w:rsidP="00F021B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3.998.250,00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42782B5" w14:textId="6FF3FEDD" w:rsidR="006B6BBB" w:rsidRPr="006B6BBB" w:rsidRDefault="00F021B1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F021B1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530.659 €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ACE2F8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410776F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5FF11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B212A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812804" w14:textId="2A835AEA" w:rsidR="006B6BBB" w:rsidRPr="006B6BBB" w:rsidRDefault="00F021B1" w:rsidP="00F021B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3.628.000,00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FE8FB85" w14:textId="3C1396C5" w:rsidR="006B6BBB" w:rsidRPr="006B6BBB" w:rsidRDefault="00F021B1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481.518 €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805DD8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B21F5B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C2ACA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672A0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C4762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F5C308" w14:textId="6DC073E7" w:rsidR="006B6BBB" w:rsidRPr="006B6BBB" w:rsidRDefault="00F021B1" w:rsidP="00F021B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3.628.000,00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747F653" w14:textId="13A2E739" w:rsidR="006B6BBB" w:rsidRPr="006B6BBB" w:rsidRDefault="00F021B1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481.518 €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EC1C7F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7D506D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DC989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D7BA2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0CE1A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389C33" w14:textId="2E3215A8" w:rsidR="006B6BBB" w:rsidRPr="006B6BBB" w:rsidRDefault="00F021B1" w:rsidP="00F021B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3.628.000,00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CD5201" w14:textId="50A68556" w:rsidR="006B6BBB" w:rsidRPr="006B6BBB" w:rsidRDefault="00F021B1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481.518 €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2CFC56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C58DC8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43AD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2816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2A4B5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Naknade građ. i kućan. na temelju osig. i druge naknade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983D8A" w14:textId="2D209F2E" w:rsidR="006B6BBB" w:rsidRPr="006B6BBB" w:rsidRDefault="00F021B1" w:rsidP="00F021B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3.028.000,00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7DAC2C" w14:textId="068382F4" w:rsidR="006B6BBB" w:rsidRPr="006B6BBB" w:rsidRDefault="00F021B1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401.885 €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F431A6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043C16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0EB3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CF54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FB4DA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F193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6740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79.634 €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F2EC4E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58FB1FA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E97AE" w14:textId="48F59C1C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09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EDC83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- Ponovno Zaželimo zajedno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A263A8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79FF30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49.141 €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E3B574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778C80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ABC1B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32CFD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D10F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iz EU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61096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B3AD2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49.141 €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206BC7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731270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9F2B4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4C487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4D8D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809C1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370.250,00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F1A18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49.141 €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0CEC38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934579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B32ED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185B7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791BD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2E423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316.500,00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AE8DB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42.007 €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27FBAF6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C28123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12F2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4B735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5A27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863D0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53.750,00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DFAC7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7.134 €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9E89EF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6F76B7E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4FE50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1232F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CIVILNOG DRUŠTVA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39ACA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1.779.000,00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CA27A9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236.114 €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0458B2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640DA4B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3C04D" w14:textId="04EB7BED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5529A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2BEA2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DC27EA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981DE7A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556B73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033F4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9F139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FFD7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6BCE7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DC9E5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DB289A0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D9097C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0593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BFD8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A92C3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12C2A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C1633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F0929A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F6D0CD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1AB30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52432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E6C02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67612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7EB9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AE5DD7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F4F270E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93922A" w14:textId="06D91C2C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5B363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B3BB77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CFA483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53.089 €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8B0523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AACA69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9A0F76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5017B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AB300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5F821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0EB9F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38.755 €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B01447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3143D5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7F66AF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934F7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5D81C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492D9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67332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38.755 €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E22409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87C047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208B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9489A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70ADB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C5499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4959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38.755 €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30BD876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0E3DD6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C3AAF7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26A8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3D514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63C5E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AC99E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498B1A6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1D9DF4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1D027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8B14D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AAC66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8979D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3F79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60DFE1A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5E8AB6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834C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ECE19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98873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88763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2BF40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73D4E10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A68E237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393D6" w14:textId="6C5DEC87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4B4C4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1BA7AA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A00A60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66.361 €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5EEEF8E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398B90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B4AB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2D6C0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96087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BCF480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A0AC7A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66.229 €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A9A115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54289B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FF541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4A4E6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AD860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6FC7E0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7AF20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66.229 €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AA41EE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3423E2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B013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5B320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9A876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49BDA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EA3B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66.229 €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1DA6AD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117AF8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5856C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05277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C7FC0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Spomenička renta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1BDBA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C56F7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25279C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F81B2A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B67449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7F9F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5D9D0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5EBC2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6552D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027520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673E3D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0672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2E06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18561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AC904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286D7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1FBDDA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DEC7613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F91044" w14:textId="2F04736E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1D40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75FC36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FD8C68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22.563 €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A44D6A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3100E2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7A9ED4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2C026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643B7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4B656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7F2C4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22.563 €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5D1F77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708BC7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FC2AF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09FB8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047A0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C98F7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92BCC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22.563 €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D60D64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72FC53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3382F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35089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984DA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E882C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ED9DC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22.563 €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AC9B4F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31EEEFA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ACA665" w14:textId="55F37AC9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78300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organizacijama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DD682D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9670C5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152088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D9374C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2B9E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63690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1FB2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1CCE28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1A58C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9CDF74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5831BB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3829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55FE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9BF4B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089A6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82D8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B981C5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FDD772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CA9EC9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A490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1753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CB2C6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4433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042705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DB923C7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30E511" w14:textId="14BFA1E4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D0851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- Korak po korak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E8F450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58372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71.007 €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8486E3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953081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E3D1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99A2B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045C1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4E944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9A8C0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1.991 €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2F9EF0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C23706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6AA84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5CB8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1D2AC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FE9AA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80301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1.991 €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9C1D55E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3256C3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9B358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61FC7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E914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B8584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1EEBC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1.991 €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047877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BFB4A0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B6A2A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8B8F0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F9F02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iz EU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7E08D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26EF3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69.016 €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3B2C34E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9276A2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394F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7421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FE5AC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D142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BEFA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69.016 €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8964D7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B910F3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F7D4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51DD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6011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5B11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372.000,00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67AD5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49.373 €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E72220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CFA761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05C6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5F5E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8273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A44F1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7A88A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14.334 €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2D97F6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E23C82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1A6E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BBBAA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F3E23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396FF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9C58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5.309 €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A6BA19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9780654" w14:textId="77777777" w:rsidTr="00026EE0">
        <w:trPr>
          <w:trHeight w:val="289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C2118E" w14:textId="779AD853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282D7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- RESISTANCE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564B62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457.500,00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AD999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60.721 €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5E9128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AD283E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979D14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71FCE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01094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9CCF7C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4B509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5.707 €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F60420A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71959A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1A072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91811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1331D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6BEC0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4BC4F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5.176 €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6CFA5D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5A82FF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253B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A31FE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AA04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39DB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38.500,00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B6016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5.110 €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76054F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DF3E8A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45055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EA1EE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AFCD4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63A67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6E6F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1.062 €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D08997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CE329B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3155FE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BCA66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48689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E0CCB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9240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E87DAD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61E033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C459D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B7CA2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D2F85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8EB21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41AC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39494D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94DF47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F624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190D5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217F2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iz EU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17A5A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414.500,00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3AD12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55.014 €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975DA8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606D2C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A9522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C072F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0813D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ED5D2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389.500,00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1C1A7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51.696 €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42FBA3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F3C485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D0E22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FCA8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A76C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FAF42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44EF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28.934 €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4050276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78F2A7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F81B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1093C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2705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9CB02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171.500,00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E3C8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22.762 €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205E78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C6613A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5DC31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1246D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35494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48FD1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21C2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3.318 €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79F7C0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48FA13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0CB1D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0FDD4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A8A18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A268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B55C4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3.318 €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3A1784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0AC550A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27C27F" w14:textId="4A97700C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5D58F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unutar općeg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52B5CA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B8ECA8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FFCCF5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F98C6A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73F44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52FD5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CE440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414B4A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96465E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BA54D7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4E43C7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B113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A0960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A8F1C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50016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51FF5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9BCA3C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7B6850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EFC6DE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AD0A3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EACF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E3B4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65BBF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FE88EAE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F0C30A3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19180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1009 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BBCC3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PROGRAM: ORGANIZIRANJE I PROVOĐENJE ZAŠTITE I SPAŠAVANJA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97182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860.000,00 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785748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114.142 €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5D4C81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6EA6E00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B28560" w14:textId="4A60A6D3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B39B8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DVD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615F5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B94087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102.860 €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9149D7B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E95E62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AA23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7DAB8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2A904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ED775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07268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102.860 €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05D190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D7CE13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AC34E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537C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E90B2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5CE24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1B03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102.860 €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6B1C91A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1A15A5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8844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5738F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32074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4EA9E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D7EA3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102.860 €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441212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D4090E8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138389" w14:textId="43395B78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19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AA06F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DB318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207565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E891D9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99A92E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3DB77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072D2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5B677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9C17B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46B42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D79180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A415BD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01F4F7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1F942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836FA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5EA76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4885D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6425846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9A143C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6DC60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238D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5B11C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C4F2C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A38CA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A577E9E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05C6386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B2BF21" w14:textId="1191D12D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20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5B1C8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2EC3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E0DE82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8.627 €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690140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8262B8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62DA8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5640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A256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38916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B2E880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8.627 €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325B1E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4F13E0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0C09E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CA60D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2D4A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D5DB5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4BB6E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5.309 €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BB474C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DE92CB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65C74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759EE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5E498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36B32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4B2F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5.309 €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AD2A3F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6B80D1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648D1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84AE4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1F93B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 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73BCD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211FC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3.318 €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CCD300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AD4E2A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DB7DC2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7430C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7F153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5D7BD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644B3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3.318 €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DA700C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43ABC2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07E1C7" w14:textId="2E588B02" w:rsidR="006B6BBB" w:rsidRPr="006B6BBB" w:rsidRDefault="00F17EFA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6D899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43B70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UNAPREĐENJE TURISTIČKE INFRASTRUKTURNE OSNOVE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D14D4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68F60E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1.327 €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5868220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4C90230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51C6D1" w14:textId="4FD9A1BA" w:rsidR="006B6BBB" w:rsidRPr="006B6BBB" w:rsidRDefault="00F17EFA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21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4509C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96016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4C1610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1.327 €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9B5213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A8F22D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65F44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8558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D5F5C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E43D0E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B20B6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1.327 €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B6D48C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7B8F20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384C79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DAAAE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DB3DC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DED22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31764B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1.327 €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993D75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A24D14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29028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53D48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0D423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B3206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EE43F7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1.327 €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8B2459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699C3B0" w14:textId="77777777" w:rsidTr="00026EE0">
        <w:trPr>
          <w:gridAfter w:val="1"/>
          <w:wAfter w:w="953" w:type="dxa"/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17E653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8FCEA2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FDD0F0C" w14:textId="77777777" w:rsidR="00A673C4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RAZDJEL: UPRAVNI ODJEL ZA PROSTORNO UREĐENJE, KOMUNALNE POSLOVE </w:t>
            </w:r>
          </w:p>
          <w:p w14:paraId="39AEF265" w14:textId="77130613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 ZAŠTITU OKOLIŠA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95D095" w14:textId="424CC596" w:rsidR="006B6BBB" w:rsidRPr="006B6BBB" w:rsidRDefault="006B6BBB" w:rsidP="00A673C4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56.</w:t>
            </w:r>
            <w:r w:rsidR="00026EE0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728.034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196F86F9" w14:textId="4C821504" w:rsidR="006B6BBB" w:rsidRPr="006B6BBB" w:rsidRDefault="00A673C4" w:rsidP="00A673C4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   </w:t>
            </w:r>
            <w:r w:rsidR="00026EE0">
              <w:rPr>
                <w:rFonts w:ascii="Calibri" w:hAnsi="Calibri" w:cs="Calibri"/>
                <w:sz w:val="20"/>
                <w:szCs w:val="20"/>
                <w:lang w:val="hr-HR" w:eastAsia="hr-HR"/>
              </w:rPr>
              <w:t>7.529.104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5E6F2417" w14:textId="77777777" w:rsidTr="00026EE0">
        <w:trPr>
          <w:gridAfter w:val="1"/>
          <w:wAfter w:w="953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F530D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00601</w:t>
            </w:r>
          </w:p>
        </w:tc>
        <w:tc>
          <w:tcPr>
            <w:tcW w:w="7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EDC85B" w14:textId="77777777" w:rsidR="00A673C4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GLAVA: UPRAVNI ODJEL ZA PROSTORNO UREĐENJE, KOMUNALNE POSLOVE </w:t>
            </w:r>
          </w:p>
          <w:p w14:paraId="605FBC9D" w14:textId="4E971AD9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I ZAŠTITU OKOLIŠA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3D3AD53" w14:textId="3954CC86" w:rsidR="006B6BBB" w:rsidRPr="006B6BBB" w:rsidRDefault="00A673C4" w:rsidP="00A673C4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</w:t>
            </w:r>
            <w:r w:rsidR="006B6BBB"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56.</w:t>
            </w:r>
            <w:r w:rsidR="00026EE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728.034</w:t>
            </w:r>
            <w:r w:rsidR="006B6BBB"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AAD1E45" w14:textId="0F1639CD" w:rsidR="006B6BBB" w:rsidRPr="006B6BBB" w:rsidRDefault="00026EE0" w:rsidP="00A673C4">
            <w:pPr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7.529.104</w:t>
            </w:r>
            <w:r w:rsidR="006B6BBB"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 xml:space="preserve"> €</w:t>
            </w:r>
          </w:p>
        </w:tc>
      </w:tr>
      <w:tr w:rsidR="006B6BBB" w:rsidRPr="006B6BBB" w14:paraId="42C46CC1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C87D4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7A7DA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337BB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1.947.000,00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E1DBB5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258.411 €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5A840A3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F922265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8D032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BEBD3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6ED7B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1.947.000,00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755E89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258.411 €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5C988C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B510AB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3E7B8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6714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41B8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A05A5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1.947.000,00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B5943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258.411 €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703E410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AE0D12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15AEB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DD0D0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48CDB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096E2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1.947.000,00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2B0BF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258.411 €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9D3513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060766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C3A067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D58D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656F8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355A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1.751.000,00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293DA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232.398 €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92E4D8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A5F3C6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A2E46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BDEE6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6F970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017E1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F526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26.014 €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9194B0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C83FC9C" w14:textId="77777777" w:rsidTr="00026EE0">
        <w:trPr>
          <w:gridAfter w:val="1"/>
          <w:wAfter w:w="953" w:type="dxa"/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9E245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1011</w:t>
            </w:r>
          </w:p>
        </w:tc>
        <w:tc>
          <w:tcPr>
            <w:tcW w:w="7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3CEC70" w14:textId="77777777" w:rsidR="00A673C4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UPRAVLJANJE SUSTAVA VODOOPSKRBE, ODVODNJE</w:t>
            </w:r>
          </w:p>
          <w:p w14:paraId="27E542C0" w14:textId="0B7BD23C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I ZAŠTITE VODA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3E801E" w14:textId="70B36FF3" w:rsidR="006B6BBB" w:rsidRPr="006B6BBB" w:rsidRDefault="00A673C4" w:rsidP="00A673C4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  </w:t>
            </w:r>
            <w:r w:rsidR="006B6BBB"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1.715.000,00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5C5B37F" w14:textId="285F7A43" w:rsidR="006B6BBB" w:rsidRPr="006B6BBB" w:rsidRDefault="00A673C4" w:rsidP="00A673C4">
            <w:pPr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 xml:space="preserve">        </w:t>
            </w:r>
            <w:r w:rsidR="006B6BBB"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227.620 €</w:t>
            </w:r>
          </w:p>
        </w:tc>
      </w:tr>
      <w:tr w:rsidR="006B6BBB" w:rsidRPr="006B6BBB" w14:paraId="4384D41C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EAEA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004A6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32978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2EAD3A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94.897 €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5C78D4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B65BBB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CA09C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E67F7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B6014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5CE2D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76C28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84.279 €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D114A8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7EA9EBD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DF5A09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8DDD2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A828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1F437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6B5FA8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84.279 €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941717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4D5A2B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C9979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A02E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F345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E792F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F0C9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84.279 €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993C412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5160B09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CFCE2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23695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CB53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103EC4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44CBE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B50447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90AED1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62DBB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94771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A9854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699E3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E6DBF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991CA4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20B2B3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35CA8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A80BC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D82CC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3BA31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BA0E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A88ED79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4243B09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852C9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0BF69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vodovodne mreže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FEF97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6B5D79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91CE25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29D074E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F9A5D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C976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282F6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AEF05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47DBE1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0CB1424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47E1F3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21BB3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187CD5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79CC4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9E6B8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0DD0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B7D645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C799B5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045C3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1404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CAA7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F508B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C8B7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C5ED0B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1AADCB2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499F3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6ED54E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PROSTORNO UREĐENJE I UNAPREĐENJE STANOVANJA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F9EBA1" w14:textId="3DBCDCA1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18.</w:t>
            </w:r>
            <w:r w:rsidR="00350BE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636.034</w:t>
            </w: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7D12E3E" w14:textId="46AF0972" w:rsidR="006B6BBB" w:rsidRPr="006B6BBB" w:rsidRDefault="006B6BBB" w:rsidP="006B6BB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2.</w:t>
            </w:r>
            <w:r w:rsidR="00350BE4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473.427</w:t>
            </w: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EE7E78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D9EAC80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E175A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B4B1A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2D109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E168A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55.744 €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E780683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8BFB74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4C8D5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D6BFC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87531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8A61A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D04F0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E73BA51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2A45F1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6F064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A0FEC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9DE19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AA3076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11EE5E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EF25B4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1AFC39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E0433A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FF46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D0795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CD1CD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D70F3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F70490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DC4235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EFCE3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C7546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FD91E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D39513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0AD64A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25.217 €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1CBAD4D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1C8366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8C7535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79398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A02677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F06ED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8C5C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25.217 €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32872C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A15BBB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DCD048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2F4E72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E158B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15FEA9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D7757C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25.217 €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1C2D29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61132F4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EC1D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EFC3C0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358AB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188DBD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02690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3.982 €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E83CB18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F781B7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0AD080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EDA06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30854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77106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BC0332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3.982 €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5D38A95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161C959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1A96C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8D793C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70ED4D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4CA280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2E855" w14:textId="77777777" w:rsidR="006B6BBB" w:rsidRPr="006B6BBB" w:rsidRDefault="006B6BBB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3.982 €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397EAEF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3847B525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A36F43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F03A06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Rekonstrukcija javne rasvjete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EEEC77" w14:textId="40BAFC75" w:rsidR="006B6BBB" w:rsidRPr="006B6BBB" w:rsidRDefault="006B6BBB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350BE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736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</w:t>
            </w:r>
            <w:r w:rsidR="00350BE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7F28DD7" w14:textId="17DB6496" w:rsidR="006B6BBB" w:rsidRPr="006B6BBB" w:rsidRDefault="00350BE4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495.857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F382747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4F14CED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FD2AED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4A1CF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A068A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FDAA794" w14:textId="7355A613" w:rsidR="006B6BBB" w:rsidRPr="006B6BBB" w:rsidRDefault="00026EE0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3.516.034</w:t>
            </w:r>
            <w:r w:rsidR="00350BE4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5BB05C" w14:textId="755039E0" w:rsidR="006B6BBB" w:rsidRPr="006B6BBB" w:rsidRDefault="00026EE0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466.658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28979D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DB8737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506A8B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143F2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C84B61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00C49E" w14:textId="62C7DC81" w:rsidR="006B6BBB" w:rsidRPr="006B6BBB" w:rsidRDefault="00026EE0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3.516.034</w:t>
            </w:r>
            <w:r w:rsidR="00350BE4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83CF51" w14:textId="73234B48" w:rsidR="006B6BBB" w:rsidRPr="006B6BBB" w:rsidRDefault="00026EE0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466.658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DB5422C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6B6BBB" w:rsidRPr="006B6BBB" w14:paraId="06B6E03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328221" w14:textId="77777777" w:rsidR="006B6BBB" w:rsidRPr="006B6BBB" w:rsidRDefault="006B6BBB" w:rsidP="006B6B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B72D64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55237B" w14:textId="77777777" w:rsidR="006B6BBB" w:rsidRPr="006B6BBB" w:rsidRDefault="006B6BBB" w:rsidP="006B6BB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3EEA77" w14:textId="662A0467" w:rsidR="006B6BBB" w:rsidRPr="006B6BBB" w:rsidRDefault="00026EE0" w:rsidP="006B6BB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3.516.034</w:t>
            </w:r>
            <w:r w:rsidR="00350BE4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B5CDB2" w14:textId="2793B690" w:rsidR="006B6BBB" w:rsidRPr="006B6BBB" w:rsidRDefault="00026EE0" w:rsidP="006B6BBB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466.658</w:t>
            </w:r>
            <w:r w:rsidR="006B6BBB"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0A0DFD0" w14:textId="77777777" w:rsidR="006B6BBB" w:rsidRPr="006B6BBB" w:rsidRDefault="006B6BBB" w:rsidP="006B6BB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9D6066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3FFA3410" w14:textId="323E989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CAC1CAE" w14:textId="228A0DEC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1D53B5D" w14:textId="52727391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</w:tcPr>
          <w:p w14:paraId="1C535E3E" w14:textId="5615F03F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55322F3" w14:textId="59A1C658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29.199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€</w:t>
            </w:r>
          </w:p>
        </w:tc>
        <w:tc>
          <w:tcPr>
            <w:tcW w:w="1016" w:type="dxa"/>
            <w:gridSpan w:val="2"/>
            <w:vAlign w:val="center"/>
          </w:tcPr>
          <w:p w14:paraId="2170A77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DAE149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3BF1F2A8" w14:textId="738429C0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4BF6EBDA" w14:textId="304295C0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</w:tcPr>
          <w:p w14:paraId="5AC2D559" w14:textId="0577A8EA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F7F9849" w14:textId="0F4B4D6E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5D022A5E" w14:textId="525A577B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29.199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</w:tcPr>
          <w:p w14:paraId="3720501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54B90A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11153E0" w14:textId="3E3BF67A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50CB8267" w14:textId="1D6B7260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2A5694F1" w14:textId="3E0F8E5D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69CAE20" w14:textId="2A7C2841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3D0F3E4" w14:textId="6C86EADF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hr-HR"/>
              </w:rPr>
              <w:t>29.199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</w:tcPr>
          <w:p w14:paraId="12294BB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8973784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C56E6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297B5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Groblje Ban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6DF0E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7C0AE0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221.647 €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5E04A8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62125F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99812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8BD19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F3783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5806B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0746F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B3973EE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7E9BA0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BB1B0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0987C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AAD72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0BCDC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E30FE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EE525D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90EE78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92108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910C8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9A1F5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1EC7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C9FF6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C58E32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8CCCCD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D4B48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1D94F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8112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0E808E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0AB1F3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188.466 €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FD8BCB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AF3B7D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DB2074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7905D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E2D5B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2D8C9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7694A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188.466 €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030CB4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D76120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DF9B6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58928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FA516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11159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76E90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188.466 €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3D56AF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3EA114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F41A8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A6A81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8A6C7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6F03D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F3324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6.636 €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3DDED6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1B7F11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A6218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61AD4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41908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53528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92E9A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6.636 €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F19895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143FBF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A877F0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0E0CB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0A190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FE26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CD8A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6.636 €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01FDBE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0133B1A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2624C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5D84F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Osnovna škola "Sveti Martin"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C1D03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765CBBF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505.674 €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EA30C1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4EDBEF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CF1422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44455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46D6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86B42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B9456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505.674 €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DA8847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112C97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C4C4E0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C1C4D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A8D1C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85AF0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98FF5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505.674 €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C890F0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0A1456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C814C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D2E14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1839D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7045B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3.010.000,00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2FA8C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399.496 €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86A49E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FB030B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F08C9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4F10B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421B3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B173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6C46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106.178 €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4BA071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F463A37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48B6A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9472B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01EA5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F86E75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566AEA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D1E975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4471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991C8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8E7D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124FA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85ECB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10.618 €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3D713C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B4790F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A049C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3B567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70369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EC381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1C63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10.618 €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08F0F37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0AAC26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91215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B980C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8EB25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5C1E6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071FB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10.618 €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A59C36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B5AEE6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F0BDC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DB61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2F63A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0FBD1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D5DBA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C581CE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57DD84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79406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9B9B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458D3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46A57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E4661B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D2026C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2FA4CD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EBFA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C76A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031C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305C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14C4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9A8275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05E0947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3715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09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009D6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SC Miljevac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A26C9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12D2C0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66.361 €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CFF11E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9E332C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6E47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8D82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18CE8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FB79E4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240F5F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66.361 €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128161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839D34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203418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7B45D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337A7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EDD88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8C72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66.361 €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A1DE72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355285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6A60C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0F3E9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E0ABE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E90B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73466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66.361 €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C60A98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99E39CD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F877C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10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17EAA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1EEF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C88916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199.084 €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E4008C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E674B9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C301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6D81D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1A609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F8014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5701A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199.084 €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9E62D5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E93E17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CC7F0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331EB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2D47A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F22222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8578F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199.084 €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A7DFE5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F357CB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3D8E7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8F24D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858CD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78350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6EDC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199.084 €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92C2FD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78D0887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FE583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BFB3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32669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697A73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2F6F7C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F73877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8CFE7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A991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9EA40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07504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D9F5C0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59A672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6B9228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20299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E90F8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0671D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48E70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375F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261A30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2231DB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6DA79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294C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2A97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BB971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01FE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3F5A76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FA55FDA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38ABE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27D1C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APS centra Petrićevo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87C3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DB3170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A879D2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9DF316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5AF0E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7DAE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5B0B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4899D1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5D880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5383F4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D5B6CE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76E3E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120A8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2BCA2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F7B2A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8CB09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06066F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FC76FA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6D727E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CE3BC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D8A36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026DC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3A5BB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9DC341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076462C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3727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1A674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dječjih igrališta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F86C4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A5DB73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199.084 €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84A2B9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913A54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6EE06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A4724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C15FA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7FF46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D089C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199.084 €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A42A07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971EB0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B8E578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48016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6B0AA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84D65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20162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199.084 €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3FFDA9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280460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528EB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3AB3A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0B53C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99DD0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C0FFF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132.723 €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828062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BCE0EB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0B682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A7E32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C15AF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CB270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A5BA1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66.361 €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5E20B0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5F66413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186AE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C9547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A367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2C7656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676.886 €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6898D17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C32F87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6A1A00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74377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806BF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BA516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5D277A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278.718 €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644E5D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F3F8A3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73F66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BFC3B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C3896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7B63C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AE981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278.718 €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50D6DF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2B07DF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A7689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4D45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37CE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4C701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4A34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278.718 €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5A7D55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FFCBA2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E37C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E206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FE3D8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78C292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13D9B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398.168 €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F93464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FDFA59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D931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123E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4A945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2944B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CFC8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398.168 €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6B1037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84A40B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E0106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E33AD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5B6C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52CF2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E3097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398.168 €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5EE76A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0F3A004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A10C0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579C8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SIGURNOST PROMETA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1C7FD8" w14:textId="1A755849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19.</w:t>
            </w:r>
            <w:r w:rsidR="00F021B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707</w:t>
            </w: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0616007" w14:textId="4EBBD3D9" w:rsidR="00026EE0" w:rsidRPr="006B6BBB" w:rsidRDefault="00026EE0" w:rsidP="00026EE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2.6</w:t>
            </w:r>
            <w:r w:rsidR="00F021B1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15</w:t>
            </w: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.5</w:t>
            </w:r>
            <w:r w:rsidR="00F021B1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68</w:t>
            </w: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2ADCF3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EA3665E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4E78E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81A37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67F83F" w14:textId="0287EE9A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</w:t>
            </w:r>
            <w:r w:rsidR="00F021B1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DAB6CB1" w14:textId="5FFE7A2B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</w:t>
            </w:r>
            <w:r w:rsid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595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.6</w:t>
            </w:r>
            <w:r w:rsid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60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4759A0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A8177A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9B2434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C8A2B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695A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770AD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8.760.000,00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E7D3A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1.162.652 €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9AF05E1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E9401D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7551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E8726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7AB15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F2261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ACA8E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92.906 €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9D9AB7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75DA7A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17A0D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2758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E3ADE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4874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5DC3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92.906 €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6AE4A1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B1859D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F5943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433CE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840B4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B0DCA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E18A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1.069.746 €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BD3E58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2C6A35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3C183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7A319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CDB43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868E1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05335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743.248 €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F8E57A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D71336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747D5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8884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912CA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6B4EE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1.860.000,00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BF939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246.864 €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08D07CE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25D836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CE5194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1CA68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2C99E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19E49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4AB9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79.634 €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D167A45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06F3CE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87EF0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EA824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943B8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BD69B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8C5A2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39.816,84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16A91F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B95159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8020F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7E772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AE0CE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32C04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0852D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A5FE30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358F81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6A862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9F59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E7C4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32063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25005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D8BB2D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19F326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3353B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20666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0486A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AEB8B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F03A1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CF156E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9C9D61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5DA7D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D61D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A024F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B5FA3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4D8A9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CCB996E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65BCA4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82FD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C0172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45416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EA1CFF" w14:textId="5731F249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</w:t>
            </w:r>
            <w:r w:rsidR="00F021B1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497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2675F06" w14:textId="28887606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</w:t>
            </w:r>
            <w:r w:rsid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393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.</w:t>
            </w:r>
            <w:r w:rsid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191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2B50A5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1DEF2D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B3E7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4811B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DC024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4F459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E753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59.725 €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A54CA3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2588D3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68E1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6424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38840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2E57F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F15A9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59.725 €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E2D7E71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1F365E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2F555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E9F84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E7419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CC30B8" w14:textId="5D6A19E3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</w:t>
            </w:r>
            <w:r w:rsidR="00F021B1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047.000</w:t>
            </w: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75EE23" w14:textId="4C94DEDF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1.</w:t>
            </w:r>
            <w:r w:rsid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333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.4</w:t>
            </w:r>
            <w:r w:rsid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66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33DB91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709C63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98222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62516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DB136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84F911" w14:textId="4080CFF4" w:rsidR="00026EE0" w:rsidRPr="006B6BBB" w:rsidRDefault="00F021B1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3.917.000</w:t>
            </w:r>
            <w:r w:rsidR="00026EE0"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53CB22" w14:textId="5978AF5C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</w:t>
            </w:r>
            <w:r w:rsid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19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.</w:t>
            </w:r>
            <w:r w:rsidR="00F021B1">
              <w:rPr>
                <w:rFonts w:ascii="Calibri" w:hAnsi="Calibri" w:cs="Calibri"/>
                <w:sz w:val="20"/>
                <w:szCs w:val="20"/>
                <w:lang w:val="hr-HR" w:eastAsia="hr-HR"/>
              </w:rPr>
              <w:t>875</w:t>
            </w: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AA4958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E8A9A9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0537B2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365EB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DD3F8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B8AE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6C2D1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149.977 €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C0B74C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C5EE18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59F04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63575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19868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49F90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E3464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663.614 €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10AF4D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CEE76FE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EA53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1569D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uz D8 - kod HC Lav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8AAA7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CBB2C2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39A2E4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675B51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57CB42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D8CC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E740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A6F4B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05AED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E127DE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35DB2B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B195A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C67D5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C30E1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00EEC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4773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DEE8B2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0B3127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9DAB8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CA822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F10FA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F1630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232E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19.908 €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317BCCE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1E62990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D81AB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860D9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C4204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6.240.000,00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11786D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828.190 €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E9C6BF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7664354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D53C7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7CD80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784C9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22065E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536.200 €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FF2F9C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59C866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1D22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57AD1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98D29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D3559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86D22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530.891 €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337FAC7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FD49DC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DBE1C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722F8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96B89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338C8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A3AE6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530.891 €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06578B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6AF643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B6D0C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75817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4C47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22DED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B48A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530.891 €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6AFF0A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C00082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A5A63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E68A4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54DBF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87F99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7EBB5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6E50BB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98E2B8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4DC4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3D7D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3C9F4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B78C3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BB60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ED341C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8A4423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27DC0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304B8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CDB40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818AA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FFA8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92B2E8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C68A7DC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8CFDA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18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C39C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Sanacija plaža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70502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FC069A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53.089 €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3A0D71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B33E30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C6B3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AA74C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4EAE9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8BB3F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C83C28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53.089 €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5CB818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118190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8F04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47069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D3F80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DE82C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C1EA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53.089 €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93FD69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BC6B64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83ED0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2982E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EE17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6C18A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B702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53.089 €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90A50B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117124A" w14:textId="77777777" w:rsidTr="00026EE0">
        <w:trPr>
          <w:trHeight w:val="285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4B792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19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4230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0135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FA3C3F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188.466 €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8A15A6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AEF7CD3" w14:textId="77777777" w:rsidTr="00026EE0">
        <w:trPr>
          <w:trHeight w:val="40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25830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20EE8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B671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05DCF9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F1BA9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112.814 €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98FC11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6B40554" w14:textId="77777777" w:rsidTr="00026EE0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492F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D66E7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96EB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F8C4A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D55F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112.814 €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0F8DFF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9782B93" w14:textId="77777777" w:rsidTr="00026EE0">
        <w:trPr>
          <w:trHeight w:val="37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D4D1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C468E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8C95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52137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C261F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112.814 €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034825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8EE295A" w14:textId="77777777" w:rsidTr="00026EE0">
        <w:trPr>
          <w:trHeight w:val="43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2C918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D89E5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E905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A356B8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6AB37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75.652 €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E72E5F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09A451D" w14:textId="77777777" w:rsidTr="00026EE0">
        <w:trPr>
          <w:trHeight w:val="25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B520B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B4B6B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D35B9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6D44A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0DA9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75.652 €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4FEDE1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989BD8C" w14:textId="77777777" w:rsidTr="00026EE0">
        <w:trPr>
          <w:trHeight w:val="37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5A2494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A20B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05523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EC94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ECEB2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75.652 €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B063E1E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68BD45B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3963A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20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AFBAB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9A737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84C818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50.435 €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A122E6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B87F70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E68D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E912B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80C88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09ADF0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6A071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E9F2CD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AAA4DC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1C362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56975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F8B34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02A05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CE9CA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F5D559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6446BC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770B7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006A5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FD553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BAFA5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1DF6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583399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6C85D2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E6C38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7C18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8F7D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48E72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D9446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C21C67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78338E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ABC19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2FB9A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F2A4D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AAD67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F3B2C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31E9691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C7870D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29E17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BC327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E969C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8B0DD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9FE80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295EB8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EFB49C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8E55D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80734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D4020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85F859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394B5A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23.890,11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B0A235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7D5CD0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4A2A7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4BE2A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442A0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0DB32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9E99C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23.890,11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87DA95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D4DF57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27C41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9A568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697B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28231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D65BA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23.890,11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E87081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D164F6D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CF403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DFFB6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BBEAA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8.400.000,00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E25822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1.114.872 €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FFECD4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72BD581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F1BD4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F6F48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Uređenje Trga dr. Franje Tuđmana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EDD3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94882F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66.361 €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DD4C8E5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66EE7E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AA874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15CC8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4F17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BF937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89B33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66.361 €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9AC6A1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FA9362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C3197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B53CA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E3C82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81531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5D363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6.636 €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4F5401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FECD8E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E868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CBAA2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32 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B947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8AEA6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4F371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6.636 €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F01B79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6C3A0B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4AB11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77E97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5341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ECC58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29E1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59.725 €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857AE3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1B2729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F873E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42BD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250F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38CB4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DA46F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59.725 €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9E06C9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2C99D1E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E2B1E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CF6A0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Restauracija-konzervacija umjetničkih djela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2314C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0E059A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9DD1DB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84155B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9D651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3CBB8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2705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CCE56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8A0EF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96DE6F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1F5BCB3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2F13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6E0A1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85756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F6164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C2B46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C8EEBB7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24A8B4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4E43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2D20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FFAF5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F70FF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2C9C1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26.545 €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86D405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26F7476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CEAAD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7CD7D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135D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D2C223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46.453 €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128B9E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AE859A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D37B2E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96E6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D9A7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9ADB4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DA56A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46.453 €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F3A4EA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0D9FB7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C40E3E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6351B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43AB2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0AF6B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A8107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46.453 €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78B94D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F229EC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91A14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5A94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9AED1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867A5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0F9C5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46.453 €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4EE904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298C394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3148B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BFCFB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0E96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2574F1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92.906 €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A81049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FC92AF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93F89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5251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D4BA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2B62F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81554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79.634 €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DB18F0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1BBD8A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82A96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AB07C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55377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3E1E5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1F7D8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79.634 €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71E5551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058BBC1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73121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893E7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2E33B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83078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C50FF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6.636 €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602B14E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6B788B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279A5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59543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00ED4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B2C6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28DE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72.998 €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20AE31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C070C1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451EF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C810E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3DF21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7C693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DC66A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05BC7A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44AB99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68821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535FD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90400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F60C4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41428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EA1126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134D82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BF22C8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A64AC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8F21A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0A3B4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14DE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065ECA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1E9B215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5511F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9EA9E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E93B8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49E23A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79.634 €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1C9B32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ED7B80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61B934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0AD72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EDF10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437F6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7BED5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79.634 €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B4DB2F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0A2174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BC8A0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0867C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81A4A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960AA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2C7C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79.634 €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557494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0CAB33A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6408B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AFFD7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9CCBE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4628F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D73D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79.634 €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E7244E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9760572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4A995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E8FC8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sportskih dvorana i ostalih sportskih sadržaja-Strožanac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2C14F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5.750.000,00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62E213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763.156 €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2BD767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C5DAF2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BBE74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A4EBE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FAFDF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ECFE8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3.155.000,00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0ECBA0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418.740 €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4A8D77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1DBB13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4CE8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449BD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1C404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DBD41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3.155.000,00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6360F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418.740 €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68B1CC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EE3D31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2B852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9FAC5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A26B0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F0CFF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3.155.000,00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6600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418.740 €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47F336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7384BE7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680BC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5828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0DC49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3BDA9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2.595.000,00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13E288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344.416 €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8A6848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1B7793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C48A4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F88EF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91922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A044F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2.595.000,00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1D80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344.416 €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74A1FE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DB172F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B26D7B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EBF3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9A1E9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941B2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2.595.000,00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2D65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344.416 €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446081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870C290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95077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27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4C128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zgrade javnog parkinga i pratećih sadržaja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6EDA8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BC108B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39.817 €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77902E5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DB5B67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4F11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01027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C7D77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A2847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C1A47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39.817 €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CCE9EF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18A295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24A37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F7EE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D3E44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E9E78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562B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39.817 €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789EE5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04CE17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61F53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08C7F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C6D8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31C3C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19CD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39.817 €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75B9AC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D885DEA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07255A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D4D46E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ODSJEK ZA KOMUNALNO REDARSTVO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8A503B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809.000,00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D8BC6C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107.373 €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656084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0894528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87B6D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7E585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20F82E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81CCEF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107.373 €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43C189E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D0C8D5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2EEE9E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84EA2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16DFD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94F0A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E0F21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107.373 €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EB41167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1650B7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96EBE4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E466E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4C033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24D66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809.000,00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433EA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107.373 €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7C7A72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96BF18D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74BA54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1CFEE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6BF4A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968E5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494.000,00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FF60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65.565 €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8EF2504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6D54AA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1EAC0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A616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37BD1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E84F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2078A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41.808 €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FC1BF51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683852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F9F07A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2F435C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DBF028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VLASTITI KOMUNALNI POGON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D0F7F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6.488.000,00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2C4BEE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861.106 €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0DC8267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D8FCA07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97406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00701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8F254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VLASTITI KOMUNALNI POGON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952D7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6.488.000,00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EFE1BE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861.106 €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58229F0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DA9BF8A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4679B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B7144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90C7B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6.388.000,00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94BC4D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847.833 €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ACAB5B6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5534B48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25E25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69930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394DF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2.926.000,00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670532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388.347 €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E32938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A6CD01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7BF8C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049CA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FB684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0DC0D9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2.926.000,00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020A4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388.347 €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A506CD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93C8FB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780DF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BBE5F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2018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B19F3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2.926.000,00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35CE8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388.347 €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641112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2AF733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61308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F598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694EA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FB3DA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77FEC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345.079 €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5755E4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4000840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2A94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85663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ECF8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5B4FF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326.000,00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6C6B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43.268 €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8D21F1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54BED2D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D71C3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61A7D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66FEE4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F158643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51.098 €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7CCC26E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4DE063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D68A8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8D12D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18ABF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8A88E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B32C7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51.098 €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ABE62B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058AD3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A1FA0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0183E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2F33C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E3205B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5D179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51.098 €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55E5E6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2964DE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A3DB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DB55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C2EF7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68D9A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385.000,00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71E0F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51.098 €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6CF1CF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7275496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365BA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67B26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i zelenih površina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33AF8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2.920.000,00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1E1719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387.551 €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0CE588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A45684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E4F002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D85DA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8EDE3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EF9D2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06CAB5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337.116 €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3F6486D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862FC5E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BEF843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6F53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39EE6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7C0B2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C4F5A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217.665 €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E1074E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092729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78929D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9D838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CB9A7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F2ECD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1.640.000,00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5448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217.665 €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69D3E20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7025B8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43F5F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3F9AB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1E196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C092B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C961E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119.451 €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DBEAD13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AE5F096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7F7CD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E5935C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52F3E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4E48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A0CF0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119.451 €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9346A7C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464495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4B86A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799E8A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C4073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55EF8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D39F8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50.435 €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7D9BFDC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BA61E0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5E33FE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FD899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952D1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EEC7A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6D5F4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50.435 €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45EC0C71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A3E92C2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D99C65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1C9F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D417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85A2D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C4CA7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50.435 €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D978E65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04E9D7BC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90DCB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6F3F53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BDD48DD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412DD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20.837 €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68845C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F834B1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06051E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EFDC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59B54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8B0D8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92AD2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20.837 €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709014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E14260C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E4E867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B4AE0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5311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8099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5459A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20.837 €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1FFD17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8880E98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049218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65869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E97A4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05597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137.000,00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75D9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18.183 €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9DD440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3596E1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4CAB1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0AA5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9299D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605E8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BD85E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2.654 €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4C6A29F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E72E081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E29C9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9E141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766C69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129C3C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13.272 €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0A475AC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7F7274ED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BAEF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15497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0B082D1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E97804A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3.982 €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521742B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F974E60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CAA1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16609D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855795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7D9BDC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D1319F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3.982 €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8696D6A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25E515C4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A6B50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7BCD00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742B5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AFF7E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C7564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3.982 €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A46B6F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54A32B39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0CE5A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793DD8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465791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A3630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1D811E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3.982 €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34EF1FC9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DB3FE71" w14:textId="77777777" w:rsidTr="00026EE0">
        <w:trPr>
          <w:trHeight w:val="300"/>
        </w:trPr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BE154F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4424E2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7B9E2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0B2ED6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B49EA72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156CE935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350586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1C2AB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35DD8E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817CB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9A09B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277382C8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3F663E0B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3B52B9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E14D17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72294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D65C97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AAB1A5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1C6DE7E7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26EE0" w:rsidRPr="006B6BBB" w14:paraId="6CCF28FF" w14:textId="77777777" w:rsidTr="00026EE0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66FD84" w14:textId="77777777" w:rsidR="00026EE0" w:rsidRPr="006B6BBB" w:rsidRDefault="00026EE0" w:rsidP="00026E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18A2C6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293609" w14:textId="77777777" w:rsidR="00026EE0" w:rsidRPr="006B6BBB" w:rsidRDefault="00026EE0" w:rsidP="00026EE0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0AC246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BCA74" w14:textId="77777777" w:rsidR="00026EE0" w:rsidRPr="006B6BBB" w:rsidRDefault="00026EE0" w:rsidP="00026EE0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B6BBB">
              <w:rPr>
                <w:rFonts w:ascii="Calibri" w:hAnsi="Calibri" w:cs="Calibri"/>
                <w:sz w:val="20"/>
                <w:szCs w:val="20"/>
                <w:lang w:val="hr-HR" w:eastAsia="hr-HR"/>
              </w:rPr>
              <w:t>9.291 €</w:t>
            </w:r>
          </w:p>
        </w:tc>
        <w:tc>
          <w:tcPr>
            <w:tcW w:w="1016" w:type="dxa"/>
            <w:gridSpan w:val="2"/>
            <w:vAlign w:val="center"/>
            <w:hideMark/>
          </w:tcPr>
          <w:p w14:paraId="5E228181" w14:textId="77777777" w:rsidR="00026EE0" w:rsidRPr="006B6BBB" w:rsidRDefault="00026EE0" w:rsidP="00026EE0">
            <w:pPr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6604344E" w14:textId="4A57754B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83B99BC" w14:textId="203B0391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bookmarkEnd w:id="1"/>
    <w:p w14:paraId="062D3F57" w14:textId="77777777" w:rsidR="00C06662" w:rsidRPr="00E42377" w:rsidRDefault="00C06662" w:rsidP="00C06662">
      <w:pPr>
        <w:rPr>
          <w:bCs/>
          <w:iCs/>
          <w:sz w:val="22"/>
          <w:szCs w:val="22"/>
          <w:lang w:val="hr-HR"/>
        </w:rPr>
      </w:pPr>
    </w:p>
    <w:p w14:paraId="10E3A0E9" w14:textId="77777777" w:rsidR="00C06662" w:rsidRPr="00E42377" w:rsidRDefault="00C06662" w:rsidP="00C06662">
      <w:pPr>
        <w:rPr>
          <w:bCs/>
          <w:iCs/>
          <w:sz w:val="22"/>
          <w:szCs w:val="22"/>
          <w:lang w:val="hr-HR"/>
        </w:rPr>
      </w:pPr>
    </w:p>
    <w:p w14:paraId="1A02DE8A" w14:textId="77777777" w:rsidR="00381E39" w:rsidRPr="00E42377" w:rsidRDefault="00381E39" w:rsidP="00BA2EB1">
      <w:pPr>
        <w:jc w:val="both"/>
        <w:rPr>
          <w:bCs/>
          <w:iCs/>
          <w:lang w:val="hr-HR"/>
        </w:rPr>
        <w:sectPr w:rsidR="00381E39" w:rsidRPr="00E42377" w:rsidSect="00943364">
          <w:footerReference w:type="default" r:id="rId8"/>
          <w:headerReference w:type="first" r:id="rId9"/>
          <w:pgSz w:w="16840" w:h="11907" w:orient="landscape" w:code="9"/>
          <w:pgMar w:top="567" w:right="1134" w:bottom="426" w:left="1134" w:header="709" w:footer="709" w:gutter="0"/>
          <w:cols w:space="708"/>
          <w:docGrid w:linePitch="360"/>
        </w:sectPr>
      </w:pPr>
    </w:p>
    <w:p w14:paraId="16C4557F" w14:textId="610A7954" w:rsidR="006F4F2D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bookmarkStart w:id="3" w:name="_Hlk121122056"/>
      <w:r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Članak 3.</w:t>
      </w:r>
    </w:p>
    <w:p w14:paraId="444A2204" w14:textId="4671CCA3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OBRAZLOŽENJE OPĆEG DIJELA PRORAČUNA</w:t>
      </w:r>
    </w:p>
    <w:bookmarkEnd w:id="3"/>
    <w:p w14:paraId="6B07CE90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1) PRIHODI I PRIMICI </w:t>
      </w:r>
    </w:p>
    <w:p w14:paraId="5B20CD17" w14:textId="06D99619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4" w:name="_Hlk119426496"/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Prijedlogom Proračuna Općine Podstrana za 2023. godinu planiraju se ukupni prihodi </w:t>
      </w:r>
      <w:r w:rsidR="00943364">
        <w:rPr>
          <w:rFonts w:ascii="Arial" w:eastAsia="Calibri" w:hAnsi="Arial" w:cs="Arial"/>
          <w:sz w:val="22"/>
          <w:szCs w:val="22"/>
          <w:lang w:val="hr-HR"/>
        </w:rPr>
        <w:t>kako slijed</w:t>
      </w:r>
      <w:bookmarkEnd w:id="4"/>
      <w:r w:rsidR="00A64A83">
        <w:rPr>
          <w:rFonts w:ascii="Arial" w:eastAsia="Calibri" w:hAnsi="Arial" w:cs="Arial"/>
          <w:sz w:val="22"/>
          <w:szCs w:val="22"/>
          <w:lang w:val="hr-HR"/>
        </w:rPr>
        <w:t>i</w:t>
      </w:r>
    </w:p>
    <w:p w14:paraId="2FF92689" w14:textId="78D49012" w:rsidR="00943364" w:rsidRPr="004C05C7" w:rsidRDefault="0094336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ab/>
        <w:t xml:space="preserve"> </w:t>
      </w:r>
      <w:r w:rsidR="00797D36">
        <w:rPr>
          <w:rFonts w:ascii="Arial" w:eastAsia="Calibri" w:hAnsi="Arial" w:cs="Arial"/>
          <w:sz w:val="22"/>
          <w:szCs w:val="22"/>
          <w:lang w:val="hr-HR"/>
        </w:rPr>
        <w:t xml:space="preserve">                     </w:t>
      </w:r>
      <w:r>
        <w:rPr>
          <w:rFonts w:ascii="Arial" w:eastAsia="Calibri" w:hAnsi="Arial" w:cs="Arial"/>
          <w:sz w:val="22"/>
          <w:szCs w:val="22"/>
          <w:lang w:val="hr-HR"/>
        </w:rPr>
        <w:t>Kn</w:t>
      </w:r>
      <w:r>
        <w:rPr>
          <w:rFonts w:ascii="Arial" w:eastAsia="Calibri" w:hAnsi="Arial" w:cs="Arial"/>
          <w:sz w:val="22"/>
          <w:szCs w:val="22"/>
          <w:lang w:val="hr-HR"/>
        </w:rPr>
        <w:tab/>
      </w:r>
      <w:r w:rsidR="00797D36">
        <w:rPr>
          <w:rFonts w:ascii="Arial" w:eastAsia="Calibri" w:hAnsi="Arial" w:cs="Arial"/>
          <w:sz w:val="22"/>
          <w:szCs w:val="22"/>
          <w:lang w:val="hr-HR"/>
        </w:rPr>
        <w:t xml:space="preserve">         E</w:t>
      </w:r>
      <w:r>
        <w:rPr>
          <w:rFonts w:ascii="Arial" w:eastAsia="Calibri" w:hAnsi="Arial" w:cs="Arial"/>
          <w:sz w:val="22"/>
          <w:szCs w:val="22"/>
          <w:lang w:val="hr-HR"/>
        </w:rPr>
        <w:t>ur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1"/>
        <w:gridCol w:w="4869"/>
        <w:gridCol w:w="72"/>
        <w:gridCol w:w="1771"/>
        <w:gridCol w:w="1513"/>
      </w:tblGrid>
      <w:tr w:rsidR="00943364" w:rsidRPr="004C05C7" w14:paraId="63C97B83" w14:textId="4D8740C4" w:rsidTr="00943364">
        <w:trPr>
          <w:trHeight w:val="284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468D921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6</w:t>
            </w:r>
          </w:p>
        </w:tc>
        <w:tc>
          <w:tcPr>
            <w:tcW w:w="27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155E7E70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Prihodi poslovanja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6525520C" w14:textId="0BA7713D" w:rsidR="00943364" w:rsidRPr="004C05C7" w:rsidRDefault="00715FC0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70.051.495</w:t>
            </w:r>
            <w:r w:rsidR="00943364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,00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CC876D" w14:textId="3FDB33D7" w:rsidR="00943364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9.268.232</w:t>
            </w:r>
          </w:p>
        </w:tc>
      </w:tr>
      <w:tr w:rsidR="00943364" w:rsidRPr="004C05C7" w14:paraId="74AC760D" w14:textId="397453D7" w:rsidTr="00943364">
        <w:trPr>
          <w:trHeight w:val="284"/>
        </w:trPr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39432AC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61</w:t>
            </w:r>
          </w:p>
        </w:tc>
        <w:tc>
          <w:tcPr>
            <w:tcW w:w="273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68C169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Prihodi od poreza</w:t>
            </w:r>
          </w:p>
        </w:tc>
        <w:tc>
          <w:tcPr>
            <w:tcW w:w="98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8D09336" w14:textId="77371BEB" w:rsidR="00943364" w:rsidRPr="004C05C7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3753C4">
              <w:rPr>
                <w:rFonts w:ascii="Arial" w:hAnsi="Arial" w:cs="Arial"/>
                <w:sz w:val="22"/>
                <w:szCs w:val="22"/>
              </w:rPr>
              <w:t>37.955.000,00</w:t>
            </w:r>
            <w:r w:rsidR="002937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3EC12085" w14:textId="522735DE" w:rsidR="00943364" w:rsidRPr="003753C4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5.037.494</w:t>
            </w:r>
          </w:p>
        </w:tc>
      </w:tr>
      <w:tr w:rsidR="00943364" w:rsidRPr="004C05C7" w14:paraId="28CAF245" w14:textId="120957C0" w:rsidTr="00943364">
        <w:trPr>
          <w:trHeight w:val="284"/>
        </w:trPr>
        <w:tc>
          <w:tcPr>
            <w:tcW w:w="444" w:type="pct"/>
            <w:shd w:val="clear" w:color="auto" w:fill="auto"/>
            <w:vAlign w:val="bottom"/>
            <w:hideMark/>
          </w:tcPr>
          <w:p w14:paraId="1739BF3F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63</w:t>
            </w:r>
          </w:p>
        </w:tc>
        <w:tc>
          <w:tcPr>
            <w:tcW w:w="2737" w:type="pct"/>
            <w:gridSpan w:val="2"/>
            <w:shd w:val="clear" w:color="auto" w:fill="auto"/>
            <w:vAlign w:val="center"/>
            <w:hideMark/>
          </w:tcPr>
          <w:p w14:paraId="1D6A845E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Pomoći iz inozemstva  i od sub. unutar općeg proračuna</w:t>
            </w:r>
          </w:p>
        </w:tc>
        <w:tc>
          <w:tcPr>
            <w:tcW w:w="981" w:type="pct"/>
            <w:tcBorders>
              <w:top w:val="nil"/>
            </w:tcBorders>
            <w:shd w:val="clear" w:color="auto" w:fill="auto"/>
            <w:hideMark/>
          </w:tcPr>
          <w:p w14:paraId="1A64D1A2" w14:textId="32646EA3" w:rsidR="00943364" w:rsidRPr="004C05C7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5" w:name="_Hlk121300419"/>
            <w:r w:rsidRPr="003753C4">
              <w:rPr>
                <w:rFonts w:ascii="Arial" w:hAnsi="Arial" w:cs="Arial"/>
                <w:sz w:val="22"/>
                <w:szCs w:val="22"/>
              </w:rPr>
              <w:t>9.</w:t>
            </w:r>
            <w:r w:rsidR="00715FC0">
              <w:rPr>
                <w:rFonts w:ascii="Arial" w:hAnsi="Arial" w:cs="Arial"/>
                <w:sz w:val="22"/>
                <w:szCs w:val="22"/>
              </w:rPr>
              <w:t>68</w:t>
            </w:r>
            <w:r w:rsidRPr="003753C4">
              <w:rPr>
                <w:rFonts w:ascii="Arial" w:hAnsi="Arial" w:cs="Arial"/>
                <w:sz w:val="22"/>
                <w:szCs w:val="22"/>
              </w:rPr>
              <w:t>2.495,00</w:t>
            </w:r>
            <w:bookmarkEnd w:id="5"/>
          </w:p>
        </w:tc>
        <w:tc>
          <w:tcPr>
            <w:tcW w:w="838" w:type="pct"/>
            <w:tcBorders>
              <w:top w:val="nil"/>
            </w:tcBorders>
          </w:tcPr>
          <w:p w14:paraId="0B781487" w14:textId="3B5B3240" w:rsidR="00943364" w:rsidRPr="003753C4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715FC0">
              <w:rPr>
                <w:rFonts w:ascii="Arial" w:hAnsi="Arial" w:cs="Arial"/>
                <w:sz w:val="22"/>
                <w:szCs w:val="22"/>
              </w:rPr>
              <w:t>285.088</w:t>
            </w:r>
          </w:p>
        </w:tc>
      </w:tr>
      <w:tr w:rsidR="00943364" w:rsidRPr="004C05C7" w14:paraId="4D48CA26" w14:textId="18B8463A" w:rsidTr="00943364">
        <w:trPr>
          <w:trHeight w:val="284"/>
        </w:trPr>
        <w:tc>
          <w:tcPr>
            <w:tcW w:w="444" w:type="pct"/>
            <w:shd w:val="clear" w:color="auto" w:fill="auto"/>
            <w:vAlign w:val="bottom"/>
            <w:hideMark/>
          </w:tcPr>
          <w:p w14:paraId="0CBD004F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64</w:t>
            </w:r>
          </w:p>
        </w:tc>
        <w:tc>
          <w:tcPr>
            <w:tcW w:w="2737" w:type="pct"/>
            <w:gridSpan w:val="2"/>
            <w:shd w:val="clear" w:color="auto" w:fill="auto"/>
            <w:vAlign w:val="center"/>
            <w:hideMark/>
          </w:tcPr>
          <w:p w14:paraId="49C195DD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Prihodi od imovine</w:t>
            </w:r>
          </w:p>
        </w:tc>
        <w:tc>
          <w:tcPr>
            <w:tcW w:w="981" w:type="pct"/>
            <w:tcBorders>
              <w:top w:val="nil"/>
            </w:tcBorders>
            <w:shd w:val="clear" w:color="auto" w:fill="auto"/>
            <w:hideMark/>
          </w:tcPr>
          <w:p w14:paraId="229F1DD9" w14:textId="0FC35B3B" w:rsidR="00943364" w:rsidRPr="004C05C7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3753C4">
              <w:rPr>
                <w:rFonts w:ascii="Arial" w:hAnsi="Arial" w:cs="Arial"/>
                <w:sz w:val="22"/>
                <w:szCs w:val="22"/>
              </w:rPr>
              <w:t>4.041.000,00</w:t>
            </w:r>
          </w:p>
        </w:tc>
        <w:tc>
          <w:tcPr>
            <w:tcW w:w="838" w:type="pct"/>
            <w:tcBorders>
              <w:top w:val="nil"/>
            </w:tcBorders>
          </w:tcPr>
          <w:p w14:paraId="706AE7F9" w14:textId="50FF3661" w:rsidR="00943364" w:rsidRPr="003753C4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536.333</w:t>
            </w:r>
          </w:p>
        </w:tc>
      </w:tr>
      <w:tr w:rsidR="00943364" w:rsidRPr="004C05C7" w14:paraId="46070E9B" w14:textId="5052318B" w:rsidTr="00943364">
        <w:trPr>
          <w:trHeight w:val="284"/>
        </w:trPr>
        <w:tc>
          <w:tcPr>
            <w:tcW w:w="444" w:type="pct"/>
            <w:shd w:val="clear" w:color="auto" w:fill="auto"/>
            <w:vAlign w:val="bottom"/>
            <w:hideMark/>
          </w:tcPr>
          <w:p w14:paraId="7C7FF61B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65</w:t>
            </w:r>
          </w:p>
        </w:tc>
        <w:tc>
          <w:tcPr>
            <w:tcW w:w="2697" w:type="pct"/>
            <w:shd w:val="clear" w:color="auto" w:fill="auto"/>
            <w:vAlign w:val="center"/>
            <w:hideMark/>
          </w:tcPr>
          <w:p w14:paraId="54117600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Prihodi od upr. i admin. prist.</w:t>
            </w:r>
          </w:p>
        </w:tc>
        <w:tc>
          <w:tcPr>
            <w:tcW w:w="1021" w:type="pct"/>
            <w:gridSpan w:val="2"/>
            <w:tcBorders>
              <w:top w:val="nil"/>
            </w:tcBorders>
            <w:shd w:val="clear" w:color="auto" w:fill="auto"/>
            <w:hideMark/>
          </w:tcPr>
          <w:p w14:paraId="3CE8B225" w14:textId="114F8BC3" w:rsidR="00943364" w:rsidRPr="004C05C7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6" w:name="_Hlk119431312"/>
            <w:r w:rsidRPr="00A54DBC">
              <w:rPr>
                <w:rFonts w:ascii="Arial" w:hAnsi="Arial" w:cs="Arial"/>
                <w:sz w:val="22"/>
                <w:szCs w:val="22"/>
              </w:rPr>
              <w:t>17.123.000,0</w:t>
            </w:r>
            <w:bookmarkEnd w:id="6"/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</w:p>
        </w:tc>
        <w:tc>
          <w:tcPr>
            <w:tcW w:w="838" w:type="pct"/>
            <w:tcBorders>
              <w:top w:val="nil"/>
            </w:tcBorders>
          </w:tcPr>
          <w:p w14:paraId="7C438586" w14:textId="0F579664" w:rsidR="00943364" w:rsidRPr="00A54DBC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7" w:name="_Hlk120796282"/>
            <w:r>
              <w:rPr>
                <w:rFonts w:ascii="Arial" w:hAnsi="Arial" w:cs="Arial"/>
                <w:sz w:val="22"/>
                <w:szCs w:val="22"/>
              </w:rPr>
              <w:t>2.272.613</w:t>
            </w:r>
            <w:bookmarkEnd w:id="7"/>
          </w:p>
        </w:tc>
      </w:tr>
      <w:tr w:rsidR="00943364" w:rsidRPr="004C05C7" w14:paraId="34962E3C" w14:textId="45665253" w:rsidTr="00943364">
        <w:trPr>
          <w:trHeight w:val="284"/>
        </w:trPr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7C82FFF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66</w:t>
            </w:r>
          </w:p>
        </w:tc>
        <w:tc>
          <w:tcPr>
            <w:tcW w:w="2737" w:type="pct"/>
            <w:gridSpan w:val="2"/>
            <w:shd w:val="clear" w:color="auto" w:fill="auto"/>
            <w:vAlign w:val="center"/>
            <w:hideMark/>
          </w:tcPr>
          <w:p w14:paraId="75E5FB63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Prihodi od prod. proiz. i robe te pruž. usl. i prihodi od donac.</w:t>
            </w:r>
          </w:p>
        </w:tc>
        <w:tc>
          <w:tcPr>
            <w:tcW w:w="981" w:type="pct"/>
            <w:tcBorders>
              <w:top w:val="nil"/>
            </w:tcBorders>
            <w:shd w:val="clear" w:color="auto" w:fill="auto"/>
            <w:hideMark/>
          </w:tcPr>
          <w:p w14:paraId="12E9F62F" w14:textId="4134B0F8" w:rsidR="00943364" w:rsidRPr="004C05C7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3753C4">
              <w:rPr>
                <w:rFonts w:ascii="Arial" w:hAnsi="Arial" w:cs="Arial"/>
                <w:sz w:val="22"/>
                <w:szCs w:val="22"/>
              </w:rPr>
              <w:t>1.185.000,00</w:t>
            </w:r>
          </w:p>
        </w:tc>
        <w:tc>
          <w:tcPr>
            <w:tcW w:w="838" w:type="pct"/>
            <w:tcBorders>
              <w:top w:val="nil"/>
            </w:tcBorders>
          </w:tcPr>
          <w:p w14:paraId="017122AE" w14:textId="69D61980" w:rsidR="00943364" w:rsidRPr="003753C4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157.277</w:t>
            </w:r>
          </w:p>
        </w:tc>
      </w:tr>
      <w:tr w:rsidR="00943364" w:rsidRPr="004C05C7" w14:paraId="20C4EF66" w14:textId="6C4C2F98" w:rsidTr="00943364">
        <w:trPr>
          <w:trHeight w:val="284"/>
        </w:trPr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0788061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bookmarkStart w:id="8" w:name="_Hlk119426615"/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68</w:t>
            </w:r>
          </w:p>
        </w:tc>
        <w:tc>
          <w:tcPr>
            <w:tcW w:w="2737" w:type="pct"/>
            <w:gridSpan w:val="2"/>
            <w:shd w:val="clear" w:color="auto" w:fill="auto"/>
            <w:vAlign w:val="center"/>
            <w:hideMark/>
          </w:tcPr>
          <w:p w14:paraId="29E1AEC7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Kazne, upravne mjere i ostali prihodi</w:t>
            </w:r>
          </w:p>
        </w:tc>
        <w:tc>
          <w:tcPr>
            <w:tcW w:w="981" w:type="pct"/>
            <w:tcBorders>
              <w:top w:val="nil"/>
            </w:tcBorders>
            <w:shd w:val="clear" w:color="auto" w:fill="auto"/>
            <w:hideMark/>
          </w:tcPr>
          <w:p w14:paraId="51FAE235" w14:textId="5B8B5879" w:rsidR="00943364" w:rsidRPr="004C05C7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53C4">
              <w:rPr>
                <w:rFonts w:ascii="Arial" w:hAnsi="Arial" w:cs="Arial"/>
                <w:sz w:val="22"/>
                <w:szCs w:val="22"/>
              </w:rPr>
              <w:t>65.000,00</w:t>
            </w:r>
          </w:p>
        </w:tc>
        <w:tc>
          <w:tcPr>
            <w:tcW w:w="838" w:type="pct"/>
            <w:tcBorders>
              <w:top w:val="nil"/>
            </w:tcBorders>
          </w:tcPr>
          <w:p w14:paraId="41CAD7E0" w14:textId="3BFF72EC" w:rsidR="00943364" w:rsidRPr="003753C4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8.627</w:t>
            </w:r>
          </w:p>
        </w:tc>
      </w:tr>
      <w:bookmarkEnd w:id="8"/>
      <w:tr w:rsidR="00943364" w:rsidRPr="004C05C7" w14:paraId="1766670F" w14:textId="1DC882EB" w:rsidTr="00943364">
        <w:trPr>
          <w:trHeight w:val="284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264A6A6" w14:textId="4885B19C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8</w:t>
            </w:r>
          </w:p>
        </w:tc>
        <w:tc>
          <w:tcPr>
            <w:tcW w:w="27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A59F63C" w14:textId="1151D112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Primici od financijske imovine i zaduživanja 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484406" w14:textId="19413449" w:rsidR="00943364" w:rsidRPr="00661792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12</w:t>
            </w:r>
            <w:r w:rsidRPr="004C05C7"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.845.415,00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0534358" w14:textId="53E14B56" w:rsidR="00943364" w:rsidRPr="004C05C7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  <w:t>1.704.880</w:t>
            </w:r>
          </w:p>
        </w:tc>
      </w:tr>
      <w:tr w:rsidR="00943364" w:rsidRPr="004C05C7" w14:paraId="558ACA74" w14:textId="054B55DF" w:rsidTr="00943364">
        <w:trPr>
          <w:trHeight w:val="284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10299A" w14:textId="0C28AB42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81</w:t>
            </w:r>
          </w:p>
        </w:tc>
        <w:tc>
          <w:tcPr>
            <w:tcW w:w="27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18F88C" w14:textId="27B3F81D" w:rsidR="00943364" w:rsidRPr="00661792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61792">
              <w:rPr>
                <w:rFonts w:ascii="Arial" w:eastAsia="Calibri" w:hAnsi="Arial" w:cs="Arial"/>
                <w:sz w:val="22"/>
                <w:szCs w:val="22"/>
                <w:lang w:val="hr-HR"/>
              </w:rPr>
              <w:t>Povrati sa oročenja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3F997" w14:textId="3B00D73F" w:rsidR="00943364" w:rsidRPr="00661792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Pr="00661792">
              <w:rPr>
                <w:rFonts w:ascii="Arial" w:eastAsia="Calibri" w:hAnsi="Arial" w:cs="Arial"/>
                <w:sz w:val="22"/>
                <w:szCs w:val="22"/>
                <w:lang w:val="hr-HR"/>
              </w:rPr>
              <w:t>2.845.415,00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</w:tcPr>
          <w:p w14:paraId="362A09C1" w14:textId="48B62B27" w:rsidR="00943364" w:rsidRPr="00661792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1.704.880</w:t>
            </w:r>
          </w:p>
        </w:tc>
      </w:tr>
      <w:tr w:rsidR="00943364" w:rsidRPr="004C05C7" w14:paraId="5949D4A1" w14:textId="05C4FE5E" w:rsidTr="00943364">
        <w:trPr>
          <w:trHeight w:val="284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E20D9A5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7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D4A749F" w14:textId="77777777" w:rsidR="00943364" w:rsidRPr="004C05C7" w:rsidRDefault="0094336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SVEUKUPNO PRIHODI: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68BDE4" w14:textId="1D7C1FD6" w:rsidR="00943364" w:rsidRPr="004C05C7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82.</w:t>
            </w:r>
            <w:r w:rsidR="00715FC0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89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6.910,00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5F1A09" w14:textId="0279FD72" w:rsidR="00943364" w:rsidRDefault="00943364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10.973.112</w:t>
            </w:r>
          </w:p>
        </w:tc>
      </w:tr>
    </w:tbl>
    <w:p w14:paraId="006F079F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E841E27" w14:textId="5013275F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Najznačajniji udio u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prihodima poslovanja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su prihodi </w:t>
      </w:r>
      <w:r w:rsidRPr="00A64A83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skupine 61, </w:t>
      </w:r>
      <w:r w:rsidR="00CE0B04" w:rsidRPr="00A64A83">
        <w:rPr>
          <w:rFonts w:ascii="Arial" w:eastAsia="Calibri" w:hAnsi="Arial" w:cs="Arial"/>
          <w:b/>
          <w:bCs/>
          <w:sz w:val="22"/>
          <w:szCs w:val="22"/>
          <w:lang w:val="hr-HR"/>
        </w:rPr>
        <w:t>P</w:t>
      </w:r>
      <w:r w:rsidRPr="00A64A83">
        <w:rPr>
          <w:rFonts w:ascii="Arial" w:eastAsia="Calibri" w:hAnsi="Arial" w:cs="Arial"/>
          <w:b/>
          <w:bCs/>
          <w:sz w:val="22"/>
          <w:szCs w:val="22"/>
          <w:lang w:val="hr-HR"/>
        </w:rPr>
        <w:t>rihodi</w:t>
      </w: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od poreza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10F6B">
        <w:rPr>
          <w:rFonts w:ascii="Arial" w:eastAsia="Calibri" w:hAnsi="Arial" w:cs="Arial"/>
          <w:sz w:val="22"/>
          <w:szCs w:val="22"/>
          <w:lang w:val="hr-HR"/>
        </w:rPr>
        <w:t>u iznosu od 37.955.000,00kn (5.037.464 Eur).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Najveći dio planiranih prihoda od poreza odnosi se na prihod na osnovi dodijeljenog udjela u porezu na dohodak od nesamostalnog rada te prirezu, u iznosu od </w:t>
      </w:r>
      <w:r w:rsidR="00590821" w:rsidRPr="00590821">
        <w:rPr>
          <w:rFonts w:ascii="Arial" w:eastAsia="Calibri" w:hAnsi="Arial" w:cs="Arial"/>
          <w:sz w:val="22"/>
          <w:szCs w:val="22"/>
          <w:lang w:val="hr-HR"/>
        </w:rPr>
        <w:t>28.450.000,00</w:t>
      </w:r>
      <w:r w:rsidR="0059082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753C4">
        <w:rPr>
          <w:rFonts w:ascii="Arial" w:eastAsia="Calibri" w:hAnsi="Arial" w:cs="Arial"/>
          <w:sz w:val="22"/>
          <w:szCs w:val="22"/>
          <w:lang w:val="hr-HR"/>
        </w:rPr>
        <w:t>kn</w:t>
      </w:r>
      <w:r w:rsidR="00E031FC">
        <w:rPr>
          <w:rFonts w:ascii="Arial" w:eastAsia="Calibri" w:hAnsi="Arial" w:cs="Arial"/>
          <w:sz w:val="22"/>
          <w:szCs w:val="22"/>
          <w:lang w:val="hr-HR"/>
        </w:rPr>
        <w:t xml:space="preserve"> (3.775.964 </w:t>
      </w:r>
      <w:proofErr w:type="spellStart"/>
      <w:r w:rsidR="00E031FC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031FC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D858B45" w14:textId="161D11D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Ostali dio odnosi se na prihod poreza na promet nekretnina na području naše općine u iznosu od 8.</w:t>
      </w:r>
      <w:r w:rsidR="00661792">
        <w:rPr>
          <w:rFonts w:ascii="Arial" w:eastAsia="Calibri" w:hAnsi="Arial" w:cs="Arial"/>
          <w:sz w:val="22"/>
          <w:szCs w:val="22"/>
          <w:lang w:val="hr-HR"/>
        </w:rPr>
        <w:t>5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00.000,00 kn</w:t>
      </w:r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 (1.128.144 </w:t>
      </w:r>
      <w:proofErr w:type="spellStart"/>
      <w:r w:rsidR="00381EE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prihode od poreza na kuće za odmor u iznosu od 200.000,00 kn</w:t>
      </w:r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 (26.545 </w:t>
      </w:r>
      <w:proofErr w:type="spellStart"/>
      <w:r w:rsidR="00381EE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dok se od poreza na potrošnju pića planira uprihoditi 800.000,00 kn</w:t>
      </w:r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 (106.178 </w:t>
      </w:r>
      <w:proofErr w:type="spellStart"/>
      <w:r w:rsidR="00381EE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>
        <w:rPr>
          <w:rFonts w:ascii="Arial" w:eastAsia="Calibri" w:hAnsi="Arial" w:cs="Arial"/>
          <w:sz w:val="22"/>
          <w:szCs w:val="22"/>
          <w:lang w:val="hr-HR"/>
        </w:rPr>
        <w:t>).</w:t>
      </w:r>
    </w:p>
    <w:p w14:paraId="373CB7D9" w14:textId="7B45989C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9" w:name="_Hlk25247458"/>
      <w:r w:rsidRPr="004C05C7">
        <w:rPr>
          <w:rFonts w:ascii="Arial" w:eastAsia="Calibri" w:hAnsi="Arial" w:cs="Arial"/>
          <w:sz w:val="22"/>
          <w:szCs w:val="22"/>
          <w:lang w:val="hr-HR"/>
        </w:rPr>
        <w:t>Dodatni udio u porezu na dohodak za preuzetu decentraliziranu funkcije vatrogastva u iznosu od 1% prikupljenog poreza na dohodak planiran je u iznosu od 300.000,00 kn</w:t>
      </w:r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 (39.817 </w:t>
      </w:r>
      <w:proofErr w:type="spellStart"/>
      <w:r w:rsidR="00381EE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dok ostatak do razine minimalnoga financijskog standarda za vatrogastvo, država dodjeljuje sredstva iz fonda izravnanja.</w:t>
      </w:r>
    </w:p>
    <w:bookmarkEnd w:id="9"/>
    <w:p w14:paraId="2F65DB52" w14:textId="5BF603CF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Prihodi Pomoći iz inozemstva i od subjekata unutar općeg proračuna</w:t>
      </w:r>
      <w:r w:rsidR="00A64A83">
        <w:rPr>
          <w:rFonts w:ascii="Arial" w:eastAsia="Calibri" w:hAnsi="Arial" w:cs="Arial"/>
          <w:b/>
          <w:bCs/>
          <w:sz w:val="22"/>
          <w:szCs w:val="22"/>
          <w:lang w:val="hr-HR"/>
        </w:rPr>
        <w:t>- skupina 63</w:t>
      </w:r>
      <w:r w:rsidR="00B85FDE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B85FDE">
        <w:rPr>
          <w:rFonts w:ascii="Arial" w:eastAsia="Calibri" w:hAnsi="Arial" w:cs="Arial"/>
          <w:sz w:val="22"/>
          <w:szCs w:val="22"/>
          <w:lang w:val="hr-HR"/>
        </w:rPr>
        <w:t>planirani su u ukupnom iznosu</w:t>
      </w:r>
      <w:r w:rsidR="00B85FDE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B85FDE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715FC0" w:rsidRPr="00715FC0">
        <w:rPr>
          <w:rFonts w:ascii="Arial" w:hAnsi="Arial" w:cs="Arial"/>
          <w:sz w:val="22"/>
          <w:szCs w:val="22"/>
          <w:lang w:val="hr-HR"/>
        </w:rPr>
        <w:t xml:space="preserve">9.682.495,00 </w:t>
      </w:r>
      <w:r w:rsidR="00B85FDE" w:rsidRPr="00B85FDE">
        <w:rPr>
          <w:rFonts w:ascii="Arial" w:eastAsia="Calibri" w:hAnsi="Arial" w:cs="Arial"/>
          <w:sz w:val="22"/>
          <w:szCs w:val="22"/>
          <w:lang w:val="hr-HR"/>
        </w:rPr>
        <w:t>kn (</w:t>
      </w:r>
      <w:r w:rsidR="00715FC0" w:rsidRPr="00715FC0">
        <w:rPr>
          <w:rFonts w:ascii="Arial" w:hAnsi="Arial" w:cs="Arial"/>
          <w:sz w:val="22"/>
          <w:szCs w:val="22"/>
          <w:lang w:val="hr-HR"/>
        </w:rPr>
        <w:t>1.285.088</w:t>
      </w:r>
      <w:r w:rsidR="00B85FDE" w:rsidRPr="00B85FDE">
        <w:rPr>
          <w:rFonts w:ascii="Arial" w:eastAsia="Calibri" w:hAnsi="Arial" w:cs="Arial"/>
          <w:sz w:val="22"/>
          <w:szCs w:val="22"/>
          <w:lang w:val="hr-HR"/>
        </w:rPr>
        <w:t>Eur)</w:t>
      </w:r>
      <w:r w:rsidR="00A64A83">
        <w:rPr>
          <w:rFonts w:ascii="Arial" w:eastAsia="Calibri" w:hAnsi="Arial" w:cs="Arial"/>
          <w:sz w:val="22"/>
          <w:szCs w:val="22"/>
          <w:lang w:val="hr-HR"/>
        </w:rPr>
        <w:t>.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Pomoći Splitsko-dalmatinske Županije za sanaciju obalnog podrjučja te protupožarne puteve planirane su u iznosu od 3.500.000,00 kn</w:t>
      </w:r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 (464.530 </w:t>
      </w:r>
      <w:proofErr w:type="spellStart"/>
      <w:r w:rsidR="00381EE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iznos od </w:t>
      </w:r>
      <w:r w:rsidR="00661792">
        <w:rPr>
          <w:rFonts w:ascii="Arial" w:eastAsia="Calibri" w:hAnsi="Arial" w:cs="Arial"/>
          <w:sz w:val="22"/>
          <w:szCs w:val="22"/>
          <w:lang w:val="hr-HR"/>
        </w:rPr>
        <w:t>2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  <w:r w:rsidR="00661792">
        <w:rPr>
          <w:rFonts w:ascii="Arial" w:eastAsia="Calibri" w:hAnsi="Arial" w:cs="Arial"/>
          <w:sz w:val="22"/>
          <w:szCs w:val="22"/>
          <w:lang w:val="hr-HR"/>
        </w:rPr>
        <w:t>50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0.000,00 kn</w:t>
      </w:r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 (331.807 </w:t>
      </w:r>
      <w:proofErr w:type="spellStart"/>
      <w:r w:rsidR="00381EE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planiran je kao kapitalna pomoć Županije za sportsku dvoranu u vlasništvu Općine</w:t>
      </w:r>
      <w:r w:rsidR="00715FC0">
        <w:rPr>
          <w:rFonts w:ascii="Arial" w:eastAsia="Calibri" w:hAnsi="Arial" w:cs="Arial"/>
          <w:sz w:val="22"/>
          <w:szCs w:val="22"/>
          <w:lang w:val="hr-HR"/>
        </w:rPr>
        <w:t xml:space="preserve"> te iznos od 220.000,00 kn (29.199 </w:t>
      </w:r>
      <w:proofErr w:type="spellStart"/>
      <w:r w:rsidR="00715FC0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15FC0">
        <w:rPr>
          <w:rFonts w:ascii="Arial" w:eastAsia="Calibri" w:hAnsi="Arial" w:cs="Arial"/>
          <w:sz w:val="22"/>
          <w:szCs w:val="22"/>
          <w:lang w:val="hr-HR"/>
        </w:rPr>
        <w:t>) subvencija Županije za rekonstrukciju javne rasvjete.</w:t>
      </w:r>
    </w:p>
    <w:p w14:paraId="719BAA4F" w14:textId="53AD69AB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Pomoći izravnanja za decentralizirane funkcije u iznosu od 1.882.495,00 kn </w:t>
      </w:r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(249.850 </w:t>
      </w:r>
      <w:proofErr w:type="spellStart"/>
      <w:r w:rsidR="00381EE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odnosi se na financiranje rada JVP Podstrana, dok se sredstava u iznosu od 1.580.000,00 kn </w:t>
      </w:r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(209.702 </w:t>
      </w:r>
      <w:proofErr w:type="spellStart"/>
      <w:r w:rsidR="00381EE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odnose na projekte u tijeku financirane sredstvima iz EU fondova</w:t>
      </w:r>
      <w:r w:rsidR="00797D36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BE18A83" w14:textId="1197F6A2" w:rsidR="004C05C7" w:rsidRPr="004C05C7" w:rsidRDefault="00A64A8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b/>
          <w:sz w:val="22"/>
          <w:szCs w:val="22"/>
          <w:lang w:val="hr-HR"/>
        </w:rPr>
        <w:t xml:space="preserve">Skupina 64- </w:t>
      </w:r>
      <w:r w:rsidR="004C05C7"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Prihodi od imovine 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su planirani u iznosu od </w:t>
      </w:r>
      <w:r w:rsidR="00661792">
        <w:rPr>
          <w:rFonts w:ascii="Arial" w:eastAsia="Calibri" w:hAnsi="Arial" w:cs="Arial"/>
          <w:sz w:val="22"/>
          <w:szCs w:val="22"/>
          <w:lang w:val="hr-HR"/>
        </w:rPr>
        <w:t>4.041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>.000,00 kn</w:t>
      </w:r>
      <w:r w:rsidR="00797D36">
        <w:rPr>
          <w:rFonts w:ascii="Arial" w:eastAsia="Calibri" w:hAnsi="Arial" w:cs="Arial"/>
          <w:sz w:val="22"/>
          <w:szCs w:val="22"/>
          <w:lang w:val="hr-HR"/>
        </w:rPr>
        <w:t xml:space="preserve"> (536.333 Eur)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>, a najveći dio se odnosi na naknade za izdane koncesije i koncesijska odobrenja na pomorskom dobru u iznosu od 1.850.000,00 kn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 (245.537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>)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68BC080" w14:textId="1D8C30E4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Ostali prihodi se odnose na prihode</w:t>
      </w:r>
      <w:r w:rsidR="00797D36">
        <w:rPr>
          <w:rFonts w:ascii="Arial" w:eastAsia="Calibri" w:hAnsi="Arial" w:cs="Arial"/>
          <w:sz w:val="22"/>
          <w:szCs w:val="22"/>
          <w:lang w:val="hr-HR"/>
        </w:rPr>
        <w:t xml:space="preserve"> od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zakupa nekretnina, </w:t>
      </w:r>
      <w:r w:rsidR="00797D36">
        <w:rPr>
          <w:rFonts w:ascii="Arial" w:eastAsia="Calibri" w:hAnsi="Arial" w:cs="Arial"/>
          <w:sz w:val="22"/>
          <w:szCs w:val="22"/>
          <w:lang w:val="hr-HR"/>
        </w:rPr>
        <w:t xml:space="preserve">prihode od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kamata na oročena sredstva, zateznih kamata</w:t>
      </w:r>
      <w:r w:rsidR="00797D36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naknada za korištenje infrastrukture položene u nerazvrstane ceste u vlasništvu Općine Podstrana.</w:t>
      </w:r>
    </w:p>
    <w:p w14:paraId="0A649A30" w14:textId="3AB2C671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upravnih i administrativnih prihoda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A64A83">
        <w:rPr>
          <w:rFonts w:ascii="Arial" w:eastAsia="Calibri" w:hAnsi="Arial" w:cs="Arial"/>
          <w:b/>
          <w:bCs/>
          <w:sz w:val="22"/>
          <w:szCs w:val="22"/>
          <w:lang w:val="hr-HR"/>
        </w:rPr>
        <w:t>u skupini 65</w:t>
      </w:r>
      <w:r w:rsidR="00A64A83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planira se uprihoditi </w:t>
      </w:r>
      <w:r w:rsidR="00A54DBC" w:rsidRPr="00A54DBC">
        <w:rPr>
          <w:rFonts w:ascii="Arial" w:eastAsia="Calibri" w:hAnsi="Arial" w:cs="Arial"/>
          <w:sz w:val="22"/>
          <w:szCs w:val="22"/>
          <w:lang w:val="hr-HR"/>
        </w:rPr>
        <w:t>17.123.000,00</w:t>
      </w:r>
      <w:r w:rsidR="00A54DB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kn</w:t>
      </w:r>
      <w:r w:rsidR="00BB0CF3">
        <w:rPr>
          <w:rFonts w:ascii="Arial" w:eastAsia="Calibri" w:hAnsi="Arial" w:cs="Arial"/>
          <w:sz w:val="22"/>
          <w:szCs w:val="22"/>
          <w:lang w:val="hr-HR"/>
        </w:rPr>
        <w:t xml:space="preserve"> (</w:t>
      </w:r>
      <w:r w:rsidR="00BB0CF3" w:rsidRPr="00BB0CF3">
        <w:rPr>
          <w:rFonts w:ascii="Arial" w:eastAsia="Calibri" w:hAnsi="Arial" w:cs="Arial"/>
          <w:sz w:val="22"/>
          <w:szCs w:val="22"/>
          <w:lang w:val="hr-HR"/>
        </w:rPr>
        <w:t>2.272.613</w:t>
      </w:r>
      <w:r w:rsidR="00BB0CF3">
        <w:rPr>
          <w:rFonts w:ascii="Arial" w:eastAsia="Calibri" w:hAnsi="Arial" w:cs="Arial"/>
          <w:sz w:val="22"/>
          <w:szCs w:val="22"/>
          <w:lang w:val="hr-HR"/>
        </w:rPr>
        <w:t xml:space="preserve">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a najveći dio u iznosu od 2.</w:t>
      </w:r>
      <w:r w:rsidR="00BB0CF3">
        <w:rPr>
          <w:rFonts w:ascii="Arial" w:eastAsia="Calibri" w:hAnsi="Arial" w:cs="Arial"/>
          <w:sz w:val="22"/>
          <w:szCs w:val="22"/>
          <w:lang w:val="hr-HR"/>
        </w:rPr>
        <w:t>231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.000,00 kn 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(296.105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se odnosi na naknadu za dodjelu grobnog mjesta na korištenje na neodređeno vrijeme.</w:t>
      </w:r>
    </w:p>
    <w:p w14:paraId="507BD2F1" w14:textId="28D8ADB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Udio od boravišne pristojbe</w:t>
      </w:r>
      <w:r w:rsidR="00BB0CF3">
        <w:rPr>
          <w:rFonts w:ascii="Arial" w:eastAsia="Calibri" w:hAnsi="Arial" w:cs="Arial"/>
          <w:sz w:val="22"/>
          <w:szCs w:val="22"/>
          <w:lang w:val="hr-HR"/>
        </w:rPr>
        <w:t xml:space="preserve"> planiran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je u iznosu od 9</w:t>
      </w:r>
      <w:r w:rsidR="00661792">
        <w:rPr>
          <w:rFonts w:ascii="Arial" w:eastAsia="Calibri" w:hAnsi="Arial" w:cs="Arial"/>
          <w:sz w:val="22"/>
          <w:szCs w:val="22"/>
          <w:lang w:val="hr-HR"/>
        </w:rPr>
        <w:t>5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0.000,00 kn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 (126.087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te 62.000 kn 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( 8.229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od ostalih pristojbi.</w:t>
      </w:r>
    </w:p>
    <w:p w14:paraId="39584789" w14:textId="0ABEE14C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BB0CF3">
        <w:rPr>
          <w:rFonts w:ascii="Arial" w:eastAsia="Calibri" w:hAnsi="Arial" w:cs="Arial"/>
          <w:bCs/>
          <w:sz w:val="22"/>
          <w:szCs w:val="22"/>
          <w:lang w:val="hr-HR"/>
        </w:rPr>
        <w:t>prihoda po posebnim propisima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se planira uprihoditi 1</w:t>
      </w:r>
      <w:r w:rsidR="00661792">
        <w:rPr>
          <w:rFonts w:ascii="Arial" w:eastAsia="Calibri" w:hAnsi="Arial" w:cs="Arial"/>
          <w:sz w:val="22"/>
          <w:szCs w:val="22"/>
          <w:lang w:val="hr-HR"/>
        </w:rPr>
        <w:t>8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0.000,00 kn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 (23.890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a odnose se na prihode od vodnog doprinosa i ostalih prihoda po posebnim propisima.</w:t>
      </w:r>
    </w:p>
    <w:p w14:paraId="0ABD2066" w14:textId="5AD1E319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BB0CF3">
        <w:rPr>
          <w:rFonts w:ascii="Arial" w:eastAsia="Calibri" w:hAnsi="Arial" w:cs="Arial"/>
          <w:sz w:val="22"/>
          <w:szCs w:val="22"/>
          <w:lang w:val="hr-HR"/>
        </w:rPr>
        <w:t>Od komunalnih doprinosa i naknada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se planira uprihoditi 13.700.000,00 kn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 (1.818.302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tj. 9.000.000,00 kn 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(1.194.505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od komunalnog doprinosa, te 4.700.000,00 kn 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(623.797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od komunalne naknade.</w:t>
      </w:r>
    </w:p>
    <w:p w14:paraId="1490A36D" w14:textId="657147D5" w:rsidR="004C05C7" w:rsidRPr="004C05C7" w:rsidRDefault="0031473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Ukupan i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znos prihoda </w:t>
      </w:r>
      <w:r w:rsidR="00661792">
        <w:rPr>
          <w:rFonts w:ascii="Arial" w:eastAsia="Calibri" w:hAnsi="Arial" w:cs="Arial"/>
          <w:sz w:val="22"/>
          <w:szCs w:val="22"/>
          <w:lang w:val="hr-HR"/>
        </w:rPr>
        <w:t>od 1.1</w:t>
      </w:r>
      <w:r>
        <w:rPr>
          <w:rFonts w:ascii="Arial" w:eastAsia="Calibri" w:hAnsi="Arial" w:cs="Arial"/>
          <w:sz w:val="22"/>
          <w:szCs w:val="22"/>
          <w:lang w:val="hr-HR"/>
        </w:rPr>
        <w:t>85</w:t>
      </w:r>
      <w:r w:rsidR="00661792">
        <w:rPr>
          <w:rFonts w:ascii="Arial" w:eastAsia="Calibri" w:hAnsi="Arial" w:cs="Arial"/>
          <w:sz w:val="22"/>
          <w:szCs w:val="22"/>
          <w:lang w:val="hr-HR"/>
        </w:rPr>
        <w:t>.000,00 kn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(157.277 Eur)</w:t>
      </w:r>
      <w:r w:rsidR="00661792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A64A83">
        <w:rPr>
          <w:rFonts w:ascii="Arial" w:eastAsia="Calibri" w:hAnsi="Arial" w:cs="Arial"/>
          <w:b/>
          <w:bCs/>
          <w:sz w:val="22"/>
          <w:szCs w:val="22"/>
          <w:lang w:val="hr-HR"/>
        </w:rPr>
        <w:t>u skupini</w:t>
      </w:r>
      <w:r w:rsidR="00A64A83" w:rsidRPr="00A64A83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66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314734">
        <w:rPr>
          <w:rFonts w:ascii="Arial" w:eastAsia="Calibri" w:hAnsi="Arial" w:cs="Arial"/>
          <w:b/>
          <w:bCs/>
          <w:sz w:val="22"/>
          <w:szCs w:val="22"/>
          <w:lang w:val="hr-HR"/>
        </w:rPr>
        <w:t>Prihodi od prodaje proizvoda i robe te pruženih usluga</w:t>
      </w:r>
      <w:r w:rsidRPr="00314734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314734">
        <w:rPr>
          <w:rFonts w:ascii="Arial" w:eastAsia="Calibri" w:hAnsi="Arial" w:cs="Arial"/>
          <w:sz w:val="22"/>
          <w:szCs w:val="22"/>
          <w:lang w:val="hr-HR"/>
        </w:rPr>
        <w:t xml:space="preserve">odnosi se na prihod od naplate parkinga u iznosu od </w:t>
      </w:r>
      <w:r w:rsidR="00661792" w:rsidRPr="00314734">
        <w:rPr>
          <w:rFonts w:ascii="Arial" w:eastAsia="Calibri" w:hAnsi="Arial" w:cs="Arial"/>
          <w:sz w:val="22"/>
          <w:szCs w:val="22"/>
          <w:lang w:val="hr-HR"/>
        </w:rPr>
        <w:t>40</w:t>
      </w:r>
      <w:r w:rsidR="004C05C7" w:rsidRPr="00314734">
        <w:rPr>
          <w:rFonts w:ascii="Arial" w:eastAsia="Calibri" w:hAnsi="Arial" w:cs="Arial"/>
          <w:sz w:val="22"/>
          <w:szCs w:val="22"/>
          <w:lang w:val="hr-HR"/>
        </w:rPr>
        <w:t>0.000,00 kn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 (53.089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>)</w:t>
      </w:r>
      <w:r w:rsidR="004C05C7" w:rsidRPr="00314734">
        <w:rPr>
          <w:rFonts w:ascii="Arial" w:eastAsia="Calibri" w:hAnsi="Arial" w:cs="Arial"/>
          <w:sz w:val="22"/>
          <w:szCs w:val="22"/>
          <w:lang w:val="hr-HR"/>
        </w:rPr>
        <w:t xml:space="preserve">, od </w:t>
      </w:r>
      <w:proofErr w:type="spellStart"/>
      <w:r w:rsidR="004C05C7" w:rsidRPr="00314734">
        <w:rPr>
          <w:rFonts w:ascii="Arial" w:eastAsia="Calibri" w:hAnsi="Arial" w:cs="Arial"/>
          <w:sz w:val="22"/>
          <w:szCs w:val="22"/>
          <w:lang w:val="hr-HR"/>
        </w:rPr>
        <w:t>grobarina</w:t>
      </w:r>
      <w:proofErr w:type="spellEnd"/>
      <w:r w:rsidR="004C05C7" w:rsidRPr="00314734">
        <w:rPr>
          <w:rFonts w:ascii="Arial" w:eastAsia="Calibri" w:hAnsi="Arial" w:cs="Arial"/>
          <w:sz w:val="22"/>
          <w:szCs w:val="22"/>
          <w:lang w:val="hr-HR"/>
        </w:rPr>
        <w:t xml:space="preserve"> i ukopa u iznosu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od </w:t>
      </w:r>
      <w:r>
        <w:rPr>
          <w:rFonts w:ascii="Arial" w:eastAsia="Calibri" w:hAnsi="Arial" w:cs="Arial"/>
          <w:sz w:val="22"/>
          <w:szCs w:val="22"/>
          <w:lang w:val="hr-HR"/>
        </w:rPr>
        <w:t>16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>0.000,00 kn</w:t>
      </w:r>
      <w:r w:rsidR="00AF40A6">
        <w:rPr>
          <w:rFonts w:ascii="Arial" w:eastAsia="Calibri" w:hAnsi="Arial" w:cs="Arial"/>
          <w:sz w:val="22"/>
          <w:szCs w:val="22"/>
          <w:lang w:val="hr-HR"/>
        </w:rPr>
        <w:t xml:space="preserve"> (21.236 </w:t>
      </w:r>
      <w:proofErr w:type="spellStart"/>
      <w:r w:rsidR="00AF40A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>
        <w:rPr>
          <w:rFonts w:ascii="Arial" w:eastAsia="Calibri" w:hAnsi="Arial" w:cs="Arial"/>
          <w:sz w:val="22"/>
          <w:szCs w:val="22"/>
          <w:lang w:val="hr-HR"/>
        </w:rPr>
        <w:t>)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te ostatak u iznosu od 320.000,00 kn</w:t>
      </w:r>
      <w:r w:rsidR="00D31EB4">
        <w:rPr>
          <w:rFonts w:ascii="Arial" w:eastAsia="Calibri" w:hAnsi="Arial" w:cs="Arial"/>
          <w:sz w:val="22"/>
          <w:szCs w:val="22"/>
          <w:lang w:val="hr-HR"/>
        </w:rPr>
        <w:t xml:space="preserve"> (42.471 </w:t>
      </w:r>
      <w:proofErr w:type="spellStart"/>
      <w:r w:rsidR="00D31EB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31EB4">
        <w:rPr>
          <w:rFonts w:ascii="Arial" w:eastAsia="Calibri" w:hAnsi="Arial" w:cs="Arial"/>
          <w:sz w:val="22"/>
          <w:szCs w:val="22"/>
          <w:lang w:val="hr-HR"/>
        </w:rPr>
        <w:t>)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planira se od naknade za vođenje posla evidentiranja i naplate naknade za uređenje voda</w:t>
      </w:r>
      <w:r>
        <w:rPr>
          <w:rFonts w:ascii="Arial" w:eastAsia="Calibri" w:hAnsi="Arial" w:cs="Arial"/>
          <w:sz w:val="22"/>
          <w:szCs w:val="22"/>
          <w:lang w:val="hr-HR"/>
        </w:rPr>
        <w:t>. Iznos od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661792">
        <w:rPr>
          <w:rFonts w:ascii="Arial" w:eastAsia="Calibri" w:hAnsi="Arial" w:cs="Arial"/>
          <w:sz w:val="22"/>
          <w:szCs w:val="22"/>
          <w:lang w:val="hr-HR"/>
        </w:rPr>
        <w:t>220.0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>00,00 kn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D31EB4">
        <w:rPr>
          <w:rFonts w:ascii="Arial" w:eastAsia="Calibri" w:hAnsi="Arial" w:cs="Arial"/>
          <w:sz w:val="22"/>
          <w:szCs w:val="22"/>
          <w:lang w:val="hr-HR"/>
        </w:rPr>
        <w:t xml:space="preserve">( 29.199 </w:t>
      </w:r>
      <w:proofErr w:type="spellStart"/>
      <w:r w:rsidR="00D31EB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31EB4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>
        <w:rPr>
          <w:rFonts w:ascii="Arial" w:eastAsia="Calibri" w:hAnsi="Arial" w:cs="Arial"/>
          <w:sz w:val="22"/>
          <w:szCs w:val="22"/>
          <w:lang w:val="hr-HR"/>
        </w:rPr>
        <w:t>planira se kao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vlastiti prihod JVP Podstrana.</w:t>
      </w:r>
    </w:p>
    <w:p w14:paraId="0BDA532F" w14:textId="1170BF0C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Od kazna za prometne prekršaje planira</w:t>
      </w:r>
      <w:r w:rsidR="00314734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uprihoditi 65.000,00 kn</w:t>
      </w:r>
      <w:r w:rsidR="00D31EB4">
        <w:rPr>
          <w:rFonts w:ascii="Arial" w:eastAsia="Calibri" w:hAnsi="Arial" w:cs="Arial"/>
          <w:sz w:val="22"/>
          <w:szCs w:val="22"/>
          <w:lang w:val="hr-HR"/>
        </w:rPr>
        <w:t xml:space="preserve"> (8.627 </w:t>
      </w:r>
      <w:proofErr w:type="spellStart"/>
      <w:r w:rsidR="00D31EB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31EB4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B5E998" w14:textId="3E7362AC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Primici od financijske imovine i zaduživanja</w:t>
      </w:r>
      <w:r w:rsidR="00A64A83">
        <w:rPr>
          <w:rFonts w:ascii="Arial" w:eastAsia="Calibri" w:hAnsi="Arial" w:cs="Arial"/>
          <w:bCs/>
          <w:sz w:val="22"/>
          <w:szCs w:val="22"/>
          <w:lang w:val="hr-HR"/>
        </w:rPr>
        <w:t xml:space="preserve">- </w:t>
      </w:r>
      <w:r w:rsidR="00A64A83" w:rsidRPr="00A64A83">
        <w:rPr>
          <w:rFonts w:ascii="Arial" w:eastAsia="Calibri" w:hAnsi="Arial" w:cs="Arial"/>
          <w:b/>
          <w:sz w:val="22"/>
          <w:szCs w:val="22"/>
          <w:lang w:val="hr-HR"/>
        </w:rPr>
        <w:t>skupina 68</w:t>
      </w:r>
      <w:r w:rsidR="00A64A83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 xml:space="preserve">su planirani u iznosu od </w:t>
      </w:r>
      <w:r w:rsidR="00314734">
        <w:rPr>
          <w:rFonts w:ascii="Arial" w:eastAsia="Calibri" w:hAnsi="Arial" w:cs="Arial"/>
          <w:bCs/>
          <w:sz w:val="22"/>
          <w:szCs w:val="22"/>
          <w:lang w:val="hr-HR"/>
        </w:rPr>
        <w:t>1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2.845.415,00 kn</w:t>
      </w:r>
      <w:r w:rsidR="00314734">
        <w:rPr>
          <w:rFonts w:ascii="Arial" w:eastAsia="Calibri" w:hAnsi="Arial" w:cs="Arial"/>
          <w:bCs/>
          <w:sz w:val="22"/>
          <w:szCs w:val="22"/>
          <w:lang w:val="hr-HR"/>
        </w:rPr>
        <w:t xml:space="preserve"> (1.704.880 Eur), a iste se o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dnose na povrat oročenih sredstava na štednom računu u poslovnoj banci.</w:t>
      </w:r>
    </w:p>
    <w:p w14:paraId="4ACF5CE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1B3DDFBD" w14:textId="622F738B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2) RASHODI I IZDACI</w:t>
      </w:r>
    </w:p>
    <w:p w14:paraId="05BA8B5C" w14:textId="515E2E8D" w:rsidR="004C05C7" w:rsidRPr="00A64A83" w:rsidRDefault="00661792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Prijedlogom Proračuna Općine Podstrana za 2023. godinu planiraju se ukupni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rashodi</w:t>
      </w:r>
      <w:r w:rsidR="00A64A83">
        <w:rPr>
          <w:rFonts w:ascii="Arial" w:eastAsia="Calibri" w:hAnsi="Arial" w:cs="Arial"/>
          <w:sz w:val="22"/>
          <w:szCs w:val="22"/>
          <w:lang w:val="hr-HR"/>
        </w:rPr>
        <w:t xml:space="preserve"> iskazani po ekonomskoj klasifikaciji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>
        <w:rPr>
          <w:rFonts w:ascii="Arial" w:eastAsia="Calibri" w:hAnsi="Arial" w:cs="Arial"/>
          <w:sz w:val="22"/>
          <w:szCs w:val="22"/>
          <w:lang w:val="hr-HR"/>
        </w:rPr>
        <w:t>kako slijedi</w:t>
      </w:r>
    </w:p>
    <w:p w14:paraId="7D79C9CA" w14:textId="77777777" w:rsidR="00A47E40" w:rsidRDefault="00A47E40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</w:p>
    <w:p w14:paraId="4FBC932F" w14:textId="4B6BB133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Rashodi Proračuna Općine Podstrana za 2023. godinu</w:t>
      </w:r>
    </w:p>
    <w:tbl>
      <w:tblPr>
        <w:tblW w:w="6708" w:type="pct"/>
        <w:tblLook w:val="04A0" w:firstRow="1" w:lastRow="0" w:firstColumn="1" w:lastColumn="0" w:noHBand="0" w:noVBand="1"/>
      </w:tblPr>
      <w:tblGrid>
        <w:gridCol w:w="931"/>
        <w:gridCol w:w="133"/>
        <w:gridCol w:w="4894"/>
        <w:gridCol w:w="2124"/>
        <w:gridCol w:w="4027"/>
      </w:tblGrid>
      <w:tr w:rsidR="00C711AB" w:rsidRPr="008154E0" w14:paraId="11AA424A" w14:textId="124F3A73" w:rsidTr="00E604D6">
        <w:trPr>
          <w:trHeight w:val="284"/>
        </w:trPr>
        <w:tc>
          <w:tcPr>
            <w:tcW w:w="384" w:type="pct"/>
            <w:shd w:val="clear" w:color="auto" w:fill="D9D9D9"/>
            <w:vAlign w:val="center"/>
            <w:hideMark/>
          </w:tcPr>
          <w:p w14:paraId="10674433" w14:textId="77777777" w:rsidR="00C711AB" w:rsidRPr="00A47E40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A47E40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076" w:type="pct"/>
            <w:gridSpan w:val="2"/>
            <w:shd w:val="clear" w:color="auto" w:fill="D9D9D9"/>
            <w:vAlign w:val="center"/>
            <w:hideMark/>
          </w:tcPr>
          <w:p w14:paraId="64B00F00" w14:textId="77777777" w:rsidR="00C711AB" w:rsidRPr="00A47E40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A47E40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Rashodi poslovanja</w:t>
            </w:r>
          </w:p>
        </w:tc>
        <w:tc>
          <w:tcPr>
            <w:tcW w:w="877" w:type="pct"/>
            <w:shd w:val="clear" w:color="auto" w:fill="D9D9D9"/>
            <w:hideMark/>
          </w:tcPr>
          <w:p w14:paraId="513C4EDD" w14:textId="635D4FEE" w:rsidR="00C711AB" w:rsidRPr="00E604D6" w:rsidRDefault="00E604D6" w:rsidP="00E604D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E604D6">
              <w:rPr>
                <w:rFonts w:ascii="Arial" w:hAnsi="Arial" w:cs="Arial"/>
                <w:b/>
                <w:bCs/>
                <w:sz w:val="22"/>
                <w:szCs w:val="22"/>
              </w:rPr>
              <w:t>50.679.188,87</w:t>
            </w:r>
          </w:p>
        </w:tc>
        <w:tc>
          <w:tcPr>
            <w:tcW w:w="1663" w:type="pct"/>
            <w:shd w:val="clear" w:color="auto" w:fill="D9D9D9"/>
          </w:tcPr>
          <w:p w14:paraId="04821962" w14:textId="3D31B4FB" w:rsidR="00C711AB" w:rsidRPr="00E604D6" w:rsidRDefault="00C711AB" w:rsidP="00E604D6">
            <w:pPr>
              <w:tabs>
                <w:tab w:val="left" w:pos="435"/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E604D6" w:rsidRPr="00E604D6">
              <w:rPr>
                <w:rFonts w:ascii="Arial" w:hAnsi="Arial" w:cs="Arial"/>
                <w:b/>
                <w:bCs/>
                <w:sz w:val="22"/>
                <w:szCs w:val="22"/>
              </w:rPr>
              <w:t>6.726.284 €</w:t>
            </w:r>
          </w:p>
        </w:tc>
      </w:tr>
      <w:tr w:rsidR="00C711AB" w:rsidRPr="004C05C7" w14:paraId="4E880A85" w14:textId="0E1482A5" w:rsidTr="00E604D6">
        <w:trPr>
          <w:trHeight w:val="284"/>
        </w:trPr>
        <w:tc>
          <w:tcPr>
            <w:tcW w:w="384" w:type="pct"/>
            <w:shd w:val="clear" w:color="auto" w:fill="auto"/>
            <w:vAlign w:val="bottom"/>
            <w:hideMark/>
          </w:tcPr>
          <w:p w14:paraId="4BBDC7BB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31</w:t>
            </w:r>
          </w:p>
        </w:tc>
        <w:tc>
          <w:tcPr>
            <w:tcW w:w="2076" w:type="pct"/>
            <w:gridSpan w:val="2"/>
            <w:shd w:val="clear" w:color="auto" w:fill="auto"/>
            <w:vAlign w:val="center"/>
            <w:hideMark/>
          </w:tcPr>
          <w:p w14:paraId="4AA42946" w14:textId="0625C9C2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Rashodi za zaposlene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  <w:hideMark/>
          </w:tcPr>
          <w:p w14:paraId="16D04231" w14:textId="1F122513" w:rsidR="00C711AB" w:rsidRPr="008154E0" w:rsidRDefault="001A0FF8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711AB" w:rsidRPr="008154E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031</w:t>
            </w:r>
            <w:r w:rsidR="00C711AB" w:rsidRPr="008154E0">
              <w:rPr>
                <w:rFonts w:ascii="Arial" w:hAnsi="Arial" w:cs="Arial"/>
                <w:sz w:val="22"/>
                <w:szCs w:val="22"/>
              </w:rPr>
              <w:t>.519,73</w:t>
            </w:r>
          </w:p>
        </w:tc>
        <w:tc>
          <w:tcPr>
            <w:tcW w:w="1663" w:type="pct"/>
            <w:tcBorders>
              <w:top w:val="nil"/>
            </w:tcBorders>
          </w:tcPr>
          <w:p w14:paraId="43E4B6B4" w14:textId="0242A576" w:rsidR="00C711AB" w:rsidRPr="00C711AB" w:rsidRDefault="00C711AB" w:rsidP="00C711AB">
            <w:pPr>
              <w:tabs>
                <w:tab w:val="left" w:pos="1140"/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C711AB">
              <w:rPr>
                <w:rFonts w:ascii="Arial" w:hAnsi="Arial" w:cs="Arial"/>
                <w:sz w:val="22"/>
                <w:szCs w:val="22"/>
              </w:rPr>
              <w:t>1.3</w:t>
            </w:r>
            <w:r w:rsidR="00AB2DD4">
              <w:rPr>
                <w:rFonts w:ascii="Arial" w:hAnsi="Arial" w:cs="Arial"/>
                <w:sz w:val="22"/>
                <w:szCs w:val="22"/>
              </w:rPr>
              <w:t>3</w:t>
            </w:r>
            <w:r w:rsidR="001A0FF8">
              <w:rPr>
                <w:rFonts w:ascii="Arial" w:hAnsi="Arial" w:cs="Arial"/>
                <w:sz w:val="22"/>
                <w:szCs w:val="22"/>
              </w:rPr>
              <w:t>1</w:t>
            </w:r>
            <w:r w:rsidRPr="00C711AB">
              <w:rPr>
                <w:rFonts w:ascii="Arial" w:hAnsi="Arial" w:cs="Arial"/>
                <w:sz w:val="22"/>
                <w:szCs w:val="22"/>
              </w:rPr>
              <w:t>.</w:t>
            </w:r>
            <w:r w:rsidR="001A0FF8">
              <w:rPr>
                <w:rFonts w:ascii="Arial" w:hAnsi="Arial" w:cs="Arial"/>
                <w:sz w:val="22"/>
                <w:szCs w:val="22"/>
              </w:rPr>
              <w:t>411</w:t>
            </w:r>
          </w:p>
        </w:tc>
      </w:tr>
      <w:tr w:rsidR="00C711AB" w:rsidRPr="004C05C7" w14:paraId="3BDB127E" w14:textId="3841EB29" w:rsidTr="00E604D6">
        <w:trPr>
          <w:trHeight w:val="284"/>
        </w:trPr>
        <w:tc>
          <w:tcPr>
            <w:tcW w:w="384" w:type="pct"/>
            <w:shd w:val="clear" w:color="auto" w:fill="auto"/>
            <w:vAlign w:val="bottom"/>
            <w:hideMark/>
          </w:tcPr>
          <w:p w14:paraId="54087D69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32</w:t>
            </w:r>
          </w:p>
        </w:tc>
        <w:tc>
          <w:tcPr>
            <w:tcW w:w="2076" w:type="pct"/>
            <w:gridSpan w:val="2"/>
            <w:shd w:val="clear" w:color="auto" w:fill="auto"/>
            <w:vAlign w:val="center"/>
            <w:hideMark/>
          </w:tcPr>
          <w:p w14:paraId="64C010F7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Materijalni rashodi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  <w:hideMark/>
          </w:tcPr>
          <w:p w14:paraId="3757BC2E" w14:textId="165AAB8B" w:rsidR="00C711AB" w:rsidRPr="008154E0" w:rsidRDefault="00C711AB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154E0">
              <w:rPr>
                <w:rFonts w:ascii="Arial" w:hAnsi="Arial" w:cs="Arial"/>
                <w:sz w:val="22"/>
                <w:szCs w:val="22"/>
              </w:rPr>
              <w:t>21.887.641,54</w:t>
            </w:r>
          </w:p>
        </w:tc>
        <w:tc>
          <w:tcPr>
            <w:tcW w:w="1663" w:type="pct"/>
            <w:tcBorders>
              <w:top w:val="nil"/>
            </w:tcBorders>
          </w:tcPr>
          <w:p w14:paraId="53E76094" w14:textId="0B654FBB" w:rsidR="00C711AB" w:rsidRPr="00C711AB" w:rsidRDefault="00C711AB" w:rsidP="00C711AB">
            <w:pPr>
              <w:tabs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C711AB">
              <w:rPr>
                <w:rFonts w:ascii="Arial" w:hAnsi="Arial" w:cs="Arial"/>
                <w:sz w:val="22"/>
                <w:szCs w:val="22"/>
              </w:rPr>
              <w:t>2.904.989</w:t>
            </w:r>
          </w:p>
        </w:tc>
      </w:tr>
      <w:tr w:rsidR="00C711AB" w:rsidRPr="004C05C7" w14:paraId="2E1FD3ED" w14:textId="6E71020D" w:rsidTr="00E604D6">
        <w:trPr>
          <w:trHeight w:val="284"/>
        </w:trPr>
        <w:tc>
          <w:tcPr>
            <w:tcW w:w="384" w:type="pct"/>
            <w:shd w:val="clear" w:color="auto" w:fill="auto"/>
            <w:vAlign w:val="bottom"/>
            <w:hideMark/>
          </w:tcPr>
          <w:p w14:paraId="5E61472F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34</w:t>
            </w:r>
          </w:p>
        </w:tc>
        <w:tc>
          <w:tcPr>
            <w:tcW w:w="2076" w:type="pct"/>
            <w:gridSpan w:val="2"/>
            <w:shd w:val="clear" w:color="auto" w:fill="auto"/>
            <w:vAlign w:val="center"/>
            <w:hideMark/>
          </w:tcPr>
          <w:p w14:paraId="54F4C6FD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Financijski rashodi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  <w:hideMark/>
          </w:tcPr>
          <w:p w14:paraId="4D82CDD9" w14:textId="04ADFB0D" w:rsidR="00C711AB" w:rsidRPr="008154E0" w:rsidRDefault="00C711AB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154E0">
              <w:rPr>
                <w:rFonts w:ascii="Arial" w:hAnsi="Arial" w:cs="Arial"/>
                <w:sz w:val="22"/>
                <w:szCs w:val="22"/>
              </w:rPr>
              <w:t>218.027,60</w:t>
            </w:r>
          </w:p>
        </w:tc>
        <w:tc>
          <w:tcPr>
            <w:tcW w:w="1663" w:type="pct"/>
            <w:tcBorders>
              <w:top w:val="nil"/>
            </w:tcBorders>
          </w:tcPr>
          <w:p w14:paraId="0068A955" w14:textId="17E7AFBD" w:rsidR="00C711AB" w:rsidRPr="00C711AB" w:rsidRDefault="00C711AB" w:rsidP="00C711AB">
            <w:pPr>
              <w:tabs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711AB">
              <w:rPr>
                <w:rFonts w:ascii="Arial" w:hAnsi="Arial" w:cs="Arial"/>
                <w:sz w:val="22"/>
                <w:szCs w:val="22"/>
              </w:rPr>
              <w:t>28.937</w:t>
            </w:r>
          </w:p>
        </w:tc>
      </w:tr>
      <w:tr w:rsidR="00C711AB" w:rsidRPr="004C05C7" w14:paraId="382F85AC" w14:textId="4A34D80D" w:rsidTr="00E604D6">
        <w:trPr>
          <w:trHeight w:val="284"/>
        </w:trPr>
        <w:tc>
          <w:tcPr>
            <w:tcW w:w="384" w:type="pct"/>
            <w:shd w:val="clear" w:color="auto" w:fill="auto"/>
            <w:vAlign w:val="bottom"/>
          </w:tcPr>
          <w:p w14:paraId="1611F9A0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lastRenderedPageBreak/>
              <w:t>35</w:t>
            </w:r>
          </w:p>
        </w:tc>
        <w:tc>
          <w:tcPr>
            <w:tcW w:w="2076" w:type="pct"/>
            <w:gridSpan w:val="2"/>
            <w:shd w:val="clear" w:color="auto" w:fill="auto"/>
            <w:vAlign w:val="center"/>
          </w:tcPr>
          <w:p w14:paraId="4AA23063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Subvencije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</w:tcPr>
          <w:p w14:paraId="4B2727D2" w14:textId="02B41785" w:rsidR="00C711AB" w:rsidRPr="008154E0" w:rsidRDefault="00C711AB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154E0">
              <w:rPr>
                <w:rFonts w:ascii="Arial" w:hAnsi="Arial" w:cs="Arial"/>
                <w:sz w:val="22"/>
                <w:szCs w:val="22"/>
              </w:rPr>
              <w:t>9.450.000,00</w:t>
            </w:r>
          </w:p>
        </w:tc>
        <w:tc>
          <w:tcPr>
            <w:tcW w:w="1663" w:type="pct"/>
            <w:tcBorders>
              <w:top w:val="nil"/>
            </w:tcBorders>
          </w:tcPr>
          <w:p w14:paraId="68515113" w14:textId="511B988A" w:rsidR="00C711AB" w:rsidRPr="00C711AB" w:rsidRDefault="00C711AB" w:rsidP="00C711AB">
            <w:pPr>
              <w:tabs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C711AB">
              <w:rPr>
                <w:rFonts w:ascii="Arial" w:hAnsi="Arial" w:cs="Arial"/>
                <w:sz w:val="22"/>
                <w:szCs w:val="22"/>
              </w:rPr>
              <w:t>1.254.231</w:t>
            </w:r>
          </w:p>
        </w:tc>
      </w:tr>
      <w:tr w:rsidR="00C711AB" w:rsidRPr="004C05C7" w14:paraId="5AB1A5B4" w14:textId="12A032C7" w:rsidTr="00E604D6">
        <w:trPr>
          <w:trHeight w:val="284"/>
        </w:trPr>
        <w:tc>
          <w:tcPr>
            <w:tcW w:w="384" w:type="pct"/>
            <w:shd w:val="clear" w:color="auto" w:fill="auto"/>
            <w:noWrap/>
            <w:vAlign w:val="bottom"/>
          </w:tcPr>
          <w:p w14:paraId="1227DDEC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36</w:t>
            </w:r>
          </w:p>
        </w:tc>
        <w:tc>
          <w:tcPr>
            <w:tcW w:w="2076" w:type="pct"/>
            <w:gridSpan w:val="2"/>
            <w:shd w:val="clear" w:color="auto" w:fill="auto"/>
            <w:vAlign w:val="center"/>
          </w:tcPr>
          <w:p w14:paraId="1E795052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Pomoći dane u inozemstvo i unutar općeg proračuna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</w:tcPr>
          <w:p w14:paraId="2F0B2C5D" w14:textId="0966FF48" w:rsidR="00C711AB" w:rsidRPr="008154E0" w:rsidRDefault="00C711AB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154E0">
              <w:rPr>
                <w:rFonts w:ascii="Arial" w:hAnsi="Arial" w:cs="Arial"/>
                <w:sz w:val="22"/>
                <w:szCs w:val="22"/>
              </w:rPr>
              <w:t>319.000,00</w:t>
            </w:r>
          </w:p>
        </w:tc>
        <w:tc>
          <w:tcPr>
            <w:tcW w:w="1663" w:type="pct"/>
            <w:tcBorders>
              <w:top w:val="nil"/>
            </w:tcBorders>
          </w:tcPr>
          <w:p w14:paraId="26C8ACD9" w14:textId="299CEC57" w:rsidR="00C711AB" w:rsidRPr="00C711AB" w:rsidRDefault="00C711AB" w:rsidP="00C711AB">
            <w:pPr>
              <w:tabs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711AB">
              <w:rPr>
                <w:rFonts w:ascii="Arial" w:hAnsi="Arial" w:cs="Arial"/>
                <w:sz w:val="22"/>
                <w:szCs w:val="22"/>
              </w:rPr>
              <w:t>42.339</w:t>
            </w:r>
          </w:p>
        </w:tc>
      </w:tr>
      <w:tr w:rsidR="00E604D6" w:rsidRPr="004C05C7" w14:paraId="2E568301" w14:textId="7B9BCF47" w:rsidTr="00E604D6">
        <w:trPr>
          <w:trHeight w:val="284"/>
        </w:trPr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6C2ED3E3" w14:textId="77777777" w:rsidR="00E604D6" w:rsidRPr="004C05C7" w:rsidRDefault="00E604D6" w:rsidP="00E604D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37</w:t>
            </w:r>
          </w:p>
        </w:tc>
        <w:tc>
          <w:tcPr>
            <w:tcW w:w="2076" w:type="pct"/>
            <w:gridSpan w:val="2"/>
            <w:shd w:val="clear" w:color="auto" w:fill="auto"/>
            <w:vAlign w:val="center"/>
            <w:hideMark/>
          </w:tcPr>
          <w:p w14:paraId="5B83A213" w14:textId="77777777" w:rsidR="00E604D6" w:rsidRPr="004C05C7" w:rsidRDefault="00E604D6" w:rsidP="00E604D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Naknade građ. i kućan. na temelju osig. i druge naknade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  <w:hideMark/>
          </w:tcPr>
          <w:p w14:paraId="63EDA16B" w14:textId="65C65E25" w:rsidR="00E604D6" w:rsidRPr="00E604D6" w:rsidRDefault="00E604D6" w:rsidP="00E604D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604D6">
              <w:rPr>
                <w:rFonts w:ascii="Arial" w:hAnsi="Arial" w:cs="Arial"/>
                <w:sz w:val="22"/>
                <w:szCs w:val="22"/>
              </w:rPr>
              <w:t>3.048.000,00</w:t>
            </w:r>
          </w:p>
        </w:tc>
        <w:tc>
          <w:tcPr>
            <w:tcW w:w="1663" w:type="pct"/>
            <w:tcBorders>
              <w:top w:val="nil"/>
            </w:tcBorders>
          </w:tcPr>
          <w:p w14:paraId="236BDDD1" w14:textId="25A6422E" w:rsidR="00E604D6" w:rsidRPr="00E604D6" w:rsidRDefault="00E604D6" w:rsidP="00E604D6">
            <w:pPr>
              <w:tabs>
                <w:tab w:val="left" w:pos="360"/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604D6">
              <w:rPr>
                <w:rFonts w:ascii="Arial" w:hAnsi="Arial" w:cs="Arial"/>
                <w:sz w:val="22"/>
                <w:szCs w:val="22"/>
              </w:rPr>
              <w:t xml:space="preserve">404.539 </w:t>
            </w:r>
          </w:p>
        </w:tc>
      </w:tr>
      <w:tr w:rsidR="00E604D6" w:rsidRPr="004C05C7" w14:paraId="4906EB15" w14:textId="7C295AB0" w:rsidTr="00E604D6">
        <w:trPr>
          <w:trHeight w:val="284"/>
        </w:trPr>
        <w:tc>
          <w:tcPr>
            <w:tcW w:w="384" w:type="pct"/>
            <w:shd w:val="clear" w:color="auto" w:fill="auto"/>
            <w:vAlign w:val="bottom"/>
            <w:hideMark/>
          </w:tcPr>
          <w:p w14:paraId="47EC7DE0" w14:textId="77777777" w:rsidR="00E604D6" w:rsidRPr="004C05C7" w:rsidRDefault="00E604D6" w:rsidP="00E604D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38</w:t>
            </w:r>
          </w:p>
        </w:tc>
        <w:tc>
          <w:tcPr>
            <w:tcW w:w="2076" w:type="pct"/>
            <w:gridSpan w:val="2"/>
            <w:shd w:val="clear" w:color="auto" w:fill="auto"/>
            <w:vAlign w:val="center"/>
            <w:hideMark/>
          </w:tcPr>
          <w:p w14:paraId="56A5E346" w14:textId="77777777" w:rsidR="00E604D6" w:rsidRPr="004C05C7" w:rsidRDefault="00E604D6" w:rsidP="00E604D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Ostali rashodi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  <w:hideMark/>
          </w:tcPr>
          <w:p w14:paraId="350CD9A9" w14:textId="2B7F6898" w:rsidR="00E604D6" w:rsidRPr="00E604D6" w:rsidRDefault="00E604D6" w:rsidP="00E604D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604D6">
              <w:rPr>
                <w:rFonts w:ascii="Arial" w:hAnsi="Arial" w:cs="Arial"/>
                <w:sz w:val="22"/>
                <w:szCs w:val="22"/>
              </w:rPr>
              <w:t>5.725.000,00</w:t>
            </w:r>
          </w:p>
        </w:tc>
        <w:tc>
          <w:tcPr>
            <w:tcW w:w="1663" w:type="pct"/>
            <w:tcBorders>
              <w:top w:val="nil"/>
            </w:tcBorders>
          </w:tcPr>
          <w:p w14:paraId="598901E1" w14:textId="304090C7" w:rsidR="00E604D6" w:rsidRPr="00E604D6" w:rsidRDefault="00E604D6" w:rsidP="00E604D6">
            <w:pPr>
              <w:tabs>
                <w:tab w:val="left" w:pos="360"/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604D6">
              <w:rPr>
                <w:rFonts w:ascii="Arial" w:hAnsi="Arial" w:cs="Arial"/>
                <w:sz w:val="22"/>
                <w:szCs w:val="22"/>
              </w:rPr>
              <w:t xml:space="preserve">759.838 </w:t>
            </w:r>
          </w:p>
        </w:tc>
      </w:tr>
      <w:tr w:rsidR="00C711AB" w:rsidRPr="004C05C7" w14:paraId="164F50AA" w14:textId="7819FCF6" w:rsidTr="00E604D6">
        <w:trPr>
          <w:trHeight w:val="284"/>
        </w:trPr>
        <w:tc>
          <w:tcPr>
            <w:tcW w:w="384" w:type="pct"/>
            <w:shd w:val="clear" w:color="auto" w:fill="D9D9D9"/>
            <w:vAlign w:val="center"/>
            <w:hideMark/>
          </w:tcPr>
          <w:p w14:paraId="2975516F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2076" w:type="pct"/>
            <w:gridSpan w:val="2"/>
            <w:shd w:val="clear" w:color="auto" w:fill="D9D9D9"/>
            <w:vAlign w:val="center"/>
            <w:hideMark/>
          </w:tcPr>
          <w:p w14:paraId="14C1C9C5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Rashodi za nabavu nefinancijske imovine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D9D9D9"/>
            <w:hideMark/>
          </w:tcPr>
          <w:p w14:paraId="6966581D" w14:textId="3E9E62C0" w:rsidR="00C711AB" w:rsidRPr="008154E0" w:rsidRDefault="007F3722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7F3722">
              <w:rPr>
                <w:rFonts w:ascii="Arial" w:hAnsi="Arial" w:cs="Arial"/>
                <w:b/>
                <w:bCs/>
                <w:sz w:val="22"/>
                <w:szCs w:val="22"/>
              </w:rPr>
              <w:t>42.294.844,50</w:t>
            </w:r>
          </w:p>
        </w:tc>
        <w:tc>
          <w:tcPr>
            <w:tcW w:w="1663" w:type="pct"/>
            <w:tcBorders>
              <w:top w:val="nil"/>
            </w:tcBorders>
            <w:shd w:val="clear" w:color="auto" w:fill="D9D9D9"/>
          </w:tcPr>
          <w:p w14:paraId="180A5C9C" w14:textId="4CF337F2" w:rsidR="00C711AB" w:rsidRPr="00C711AB" w:rsidRDefault="007F3722" w:rsidP="00C711AB">
            <w:pPr>
              <w:tabs>
                <w:tab w:val="left" w:pos="405"/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7F37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5.613.491 </w:t>
            </w:r>
          </w:p>
        </w:tc>
      </w:tr>
      <w:tr w:rsidR="00C711AB" w:rsidRPr="004C05C7" w14:paraId="68106CA1" w14:textId="608F8E3C" w:rsidTr="00E604D6">
        <w:trPr>
          <w:trHeight w:val="284"/>
        </w:trPr>
        <w:tc>
          <w:tcPr>
            <w:tcW w:w="384" w:type="pct"/>
            <w:shd w:val="clear" w:color="auto" w:fill="auto"/>
            <w:vAlign w:val="bottom"/>
          </w:tcPr>
          <w:p w14:paraId="7BD65475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41</w:t>
            </w:r>
          </w:p>
        </w:tc>
        <w:tc>
          <w:tcPr>
            <w:tcW w:w="2076" w:type="pct"/>
            <w:gridSpan w:val="2"/>
            <w:shd w:val="clear" w:color="auto" w:fill="auto"/>
            <w:vAlign w:val="bottom"/>
          </w:tcPr>
          <w:p w14:paraId="68731060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Rashodi za nabavu neproizv. dugotrajne imovine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</w:tcPr>
          <w:p w14:paraId="21482717" w14:textId="660F6CF1" w:rsidR="00C711AB" w:rsidRPr="008154E0" w:rsidRDefault="00C711AB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10" w:name="_Hlk122097593"/>
            <w:r w:rsidRPr="008154E0">
              <w:rPr>
                <w:rFonts w:ascii="Arial" w:hAnsi="Arial" w:cs="Arial"/>
                <w:sz w:val="22"/>
                <w:szCs w:val="22"/>
              </w:rPr>
              <w:t>17.</w:t>
            </w:r>
            <w:r w:rsidR="007F3722">
              <w:rPr>
                <w:rFonts w:ascii="Arial" w:hAnsi="Arial" w:cs="Arial"/>
                <w:sz w:val="22"/>
                <w:szCs w:val="22"/>
              </w:rPr>
              <w:t>027</w:t>
            </w:r>
            <w:r w:rsidRPr="008154E0">
              <w:rPr>
                <w:rFonts w:ascii="Arial" w:hAnsi="Arial" w:cs="Arial"/>
                <w:sz w:val="22"/>
                <w:szCs w:val="22"/>
              </w:rPr>
              <w:t>.000,00</w:t>
            </w:r>
            <w:bookmarkEnd w:id="10"/>
          </w:p>
        </w:tc>
        <w:tc>
          <w:tcPr>
            <w:tcW w:w="1663" w:type="pct"/>
            <w:tcBorders>
              <w:top w:val="nil"/>
            </w:tcBorders>
          </w:tcPr>
          <w:p w14:paraId="7E506B29" w14:textId="53DEEAD1" w:rsidR="00C711AB" w:rsidRPr="00C711AB" w:rsidRDefault="00C711AB" w:rsidP="00C711AB">
            <w:pPr>
              <w:tabs>
                <w:tab w:val="left" w:pos="495"/>
                <w:tab w:val="left" w:pos="1701"/>
                <w:tab w:val="right" w:pos="3815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F3722" w:rsidRPr="007F3722">
              <w:rPr>
                <w:rFonts w:ascii="Arial" w:hAnsi="Arial" w:cs="Arial"/>
                <w:sz w:val="22"/>
                <w:szCs w:val="22"/>
              </w:rPr>
              <w:t>2.259.871</w:t>
            </w:r>
          </w:p>
        </w:tc>
      </w:tr>
      <w:tr w:rsidR="00C711AB" w:rsidRPr="004C05C7" w14:paraId="3E641D7D" w14:textId="6E2BFC27" w:rsidTr="00E604D6">
        <w:trPr>
          <w:trHeight w:val="284"/>
        </w:trPr>
        <w:tc>
          <w:tcPr>
            <w:tcW w:w="384" w:type="pct"/>
            <w:shd w:val="clear" w:color="auto" w:fill="auto"/>
            <w:vAlign w:val="bottom"/>
            <w:hideMark/>
          </w:tcPr>
          <w:p w14:paraId="59243D12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42</w:t>
            </w:r>
          </w:p>
        </w:tc>
        <w:tc>
          <w:tcPr>
            <w:tcW w:w="2076" w:type="pct"/>
            <w:gridSpan w:val="2"/>
            <w:shd w:val="clear" w:color="auto" w:fill="auto"/>
            <w:vAlign w:val="bottom"/>
            <w:hideMark/>
          </w:tcPr>
          <w:p w14:paraId="5E47BA8C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Rashodi za nabavu proizvedene dugotrajne imovine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  <w:hideMark/>
          </w:tcPr>
          <w:p w14:paraId="00CC72FE" w14:textId="04E16EEB" w:rsidR="00C711AB" w:rsidRPr="008154E0" w:rsidRDefault="00C711AB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154E0">
              <w:rPr>
                <w:rFonts w:ascii="Arial" w:hAnsi="Arial" w:cs="Arial"/>
                <w:sz w:val="22"/>
                <w:szCs w:val="22"/>
              </w:rPr>
              <w:t>13.011.810,50</w:t>
            </w:r>
          </w:p>
        </w:tc>
        <w:tc>
          <w:tcPr>
            <w:tcW w:w="1663" w:type="pct"/>
            <w:tcBorders>
              <w:top w:val="nil"/>
            </w:tcBorders>
          </w:tcPr>
          <w:p w14:paraId="2875528A" w14:textId="40E357BC" w:rsidR="00C711AB" w:rsidRPr="00C711AB" w:rsidRDefault="00C711AB" w:rsidP="00C711AB">
            <w:pPr>
              <w:tabs>
                <w:tab w:val="left" w:pos="405"/>
                <w:tab w:val="left" w:pos="1701"/>
                <w:tab w:val="right" w:pos="3811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C711AB">
              <w:rPr>
                <w:rFonts w:ascii="Arial" w:hAnsi="Arial" w:cs="Arial"/>
                <w:sz w:val="22"/>
                <w:szCs w:val="22"/>
              </w:rPr>
              <w:t>1.726.964</w:t>
            </w:r>
          </w:p>
        </w:tc>
      </w:tr>
      <w:tr w:rsidR="00C711AB" w:rsidRPr="004C05C7" w14:paraId="4044A2A6" w14:textId="37EC410A" w:rsidTr="00E604D6">
        <w:trPr>
          <w:trHeight w:val="284"/>
        </w:trPr>
        <w:tc>
          <w:tcPr>
            <w:tcW w:w="384" w:type="pct"/>
            <w:shd w:val="clear" w:color="auto" w:fill="auto"/>
            <w:vAlign w:val="bottom"/>
            <w:hideMark/>
          </w:tcPr>
          <w:p w14:paraId="21CC2C7D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45</w:t>
            </w:r>
          </w:p>
        </w:tc>
        <w:tc>
          <w:tcPr>
            <w:tcW w:w="2076" w:type="pct"/>
            <w:gridSpan w:val="2"/>
            <w:shd w:val="clear" w:color="auto" w:fill="auto"/>
            <w:vAlign w:val="bottom"/>
            <w:hideMark/>
          </w:tcPr>
          <w:p w14:paraId="30D381D1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Rashodi za dodatna ulaganja na nefinancijskoj imovini</w:t>
            </w:r>
          </w:p>
        </w:tc>
        <w:tc>
          <w:tcPr>
            <w:tcW w:w="877" w:type="pct"/>
            <w:tcBorders>
              <w:top w:val="nil"/>
            </w:tcBorders>
            <w:shd w:val="clear" w:color="auto" w:fill="auto"/>
            <w:hideMark/>
          </w:tcPr>
          <w:p w14:paraId="3D27F090" w14:textId="06641E0D" w:rsidR="00C711AB" w:rsidRPr="008154E0" w:rsidRDefault="00C711AB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154E0">
              <w:rPr>
                <w:rFonts w:ascii="Arial" w:hAnsi="Arial" w:cs="Arial"/>
                <w:sz w:val="22"/>
                <w:szCs w:val="22"/>
              </w:rPr>
              <w:t>12.</w:t>
            </w:r>
            <w:r w:rsidR="00A11DB1">
              <w:rPr>
                <w:rFonts w:ascii="Arial" w:hAnsi="Arial" w:cs="Arial"/>
                <w:sz w:val="22"/>
                <w:szCs w:val="22"/>
              </w:rPr>
              <w:t>256.034</w:t>
            </w:r>
            <w:r w:rsidRPr="008154E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63" w:type="pct"/>
            <w:tcBorders>
              <w:top w:val="nil"/>
            </w:tcBorders>
          </w:tcPr>
          <w:p w14:paraId="7D87EC5A" w14:textId="7EEF6541" w:rsidR="00C711AB" w:rsidRPr="00C711AB" w:rsidRDefault="00C711AB" w:rsidP="00C711AB">
            <w:pPr>
              <w:tabs>
                <w:tab w:val="left" w:pos="600"/>
                <w:tab w:val="left" w:pos="1701"/>
                <w:tab w:val="right" w:pos="3811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11DB1">
              <w:rPr>
                <w:rFonts w:ascii="Arial" w:hAnsi="Arial" w:cs="Arial"/>
                <w:sz w:val="22"/>
                <w:szCs w:val="22"/>
              </w:rPr>
              <w:t>1.626.655</w:t>
            </w:r>
          </w:p>
        </w:tc>
      </w:tr>
      <w:tr w:rsidR="00C711AB" w:rsidRPr="004C05C7" w14:paraId="420D97AD" w14:textId="62834316" w:rsidTr="00E604D6">
        <w:trPr>
          <w:trHeight w:val="284"/>
        </w:trPr>
        <w:tc>
          <w:tcPr>
            <w:tcW w:w="4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4208815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F1155F0" w14:textId="77777777" w:rsidR="00C711AB" w:rsidRPr="004C05C7" w:rsidRDefault="00C711AB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UKUPNO RASHODI: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71A9688" w14:textId="2C6639C9" w:rsidR="00C711AB" w:rsidRPr="004C05C7" w:rsidRDefault="00A11DB1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92.974.033,37</w:t>
            </w:r>
          </w:p>
        </w:tc>
        <w:tc>
          <w:tcPr>
            <w:tcW w:w="1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0B18FB6" w14:textId="4BEFEC23" w:rsidR="00C711AB" w:rsidRPr="00C711AB" w:rsidRDefault="00C711AB" w:rsidP="00C711AB">
            <w:pPr>
              <w:tabs>
                <w:tab w:val="left" w:pos="360"/>
                <w:tab w:val="left" w:pos="1701"/>
                <w:tab w:val="right" w:pos="381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AB2DD4">
              <w:rPr>
                <w:rFonts w:ascii="Arial" w:hAnsi="Arial" w:cs="Arial"/>
                <w:b/>
                <w:bCs/>
                <w:sz w:val="22"/>
                <w:szCs w:val="22"/>
              </w:rPr>
              <w:t>12.3</w:t>
            </w:r>
            <w:r w:rsidR="00A11DB1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  <w:r w:rsidR="00AB2DD4">
              <w:rPr>
                <w:rFonts w:ascii="Arial" w:hAnsi="Arial" w:cs="Arial"/>
                <w:b/>
                <w:bCs/>
                <w:sz w:val="22"/>
                <w:szCs w:val="22"/>
              </w:rPr>
              <w:t>.775</w:t>
            </w:r>
          </w:p>
        </w:tc>
      </w:tr>
    </w:tbl>
    <w:p w14:paraId="1E80B180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A263352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Planirani iznos 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prihoda i primitaka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proračuna za 2023. godinu raspodijeljen je na slijedeće vrste rashoda:</w:t>
      </w:r>
    </w:p>
    <w:p w14:paraId="368BB6FE" w14:textId="44FAE978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Materijalni rashodi</w:t>
      </w:r>
      <w:r w:rsidR="009B5E5F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u skupini 32</w:t>
      </w: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,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koji kao najveći dio </w:t>
      </w:r>
      <w:r w:rsidRPr="004C05C7">
        <w:rPr>
          <w:rFonts w:ascii="Arial" w:eastAsia="Calibri" w:hAnsi="Arial" w:cs="Arial"/>
          <w:b/>
          <w:sz w:val="22"/>
          <w:szCs w:val="22"/>
          <w:u w:val="single"/>
          <w:lang w:val="hr-HR"/>
        </w:rPr>
        <w:t>rashoda poslovanja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ukupno čine 4</w:t>
      </w:r>
      <w:r w:rsidR="00F1640D">
        <w:rPr>
          <w:rFonts w:ascii="Arial" w:eastAsia="Calibri" w:hAnsi="Arial" w:cs="Arial"/>
          <w:sz w:val="22"/>
          <w:szCs w:val="22"/>
          <w:lang w:val="hr-HR"/>
        </w:rPr>
        <w:t>3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% rashoda poslovanja, odnosno </w:t>
      </w:r>
      <w:r w:rsidR="006D6113" w:rsidRPr="006D6113">
        <w:rPr>
          <w:rFonts w:ascii="Arial" w:eastAsia="Calibri" w:hAnsi="Arial" w:cs="Arial"/>
          <w:sz w:val="22"/>
          <w:szCs w:val="22"/>
          <w:lang w:val="hr-HR"/>
        </w:rPr>
        <w:t>21.</w:t>
      </w:r>
      <w:r w:rsidR="00F1640D">
        <w:rPr>
          <w:rFonts w:ascii="Arial" w:eastAsia="Calibri" w:hAnsi="Arial" w:cs="Arial"/>
          <w:sz w:val="22"/>
          <w:szCs w:val="22"/>
          <w:lang w:val="hr-HR"/>
        </w:rPr>
        <w:t>887,641,54</w:t>
      </w:r>
      <w:r w:rsidR="006D6113">
        <w:rPr>
          <w:rFonts w:ascii="Arial" w:eastAsia="Calibri" w:hAnsi="Arial" w:cs="Arial"/>
          <w:sz w:val="22"/>
          <w:szCs w:val="22"/>
          <w:lang w:val="hr-HR"/>
        </w:rPr>
        <w:t xml:space="preserve"> kn</w:t>
      </w:r>
      <w:r w:rsidR="002B615D">
        <w:rPr>
          <w:rFonts w:ascii="Arial" w:eastAsia="Calibri" w:hAnsi="Arial" w:cs="Arial"/>
          <w:sz w:val="22"/>
          <w:szCs w:val="22"/>
          <w:lang w:val="hr-HR"/>
        </w:rPr>
        <w:t xml:space="preserve"> (</w:t>
      </w:r>
      <w:r w:rsidR="009B5E5F">
        <w:rPr>
          <w:rFonts w:ascii="Arial" w:eastAsia="Calibri" w:hAnsi="Arial" w:cs="Arial"/>
          <w:sz w:val="22"/>
          <w:szCs w:val="22"/>
          <w:lang w:val="hr-HR"/>
        </w:rPr>
        <w:t>6.705.978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gdje je najveći udjel rashoda za usluge u iznosu od </w:t>
      </w:r>
      <w:r w:rsidR="00F1640D" w:rsidRPr="00F1640D">
        <w:rPr>
          <w:rFonts w:ascii="Arial" w:eastAsia="Calibri" w:hAnsi="Arial" w:cs="Arial"/>
          <w:sz w:val="22"/>
          <w:szCs w:val="22"/>
          <w:lang w:val="hr-HR"/>
        </w:rPr>
        <w:t>11.175.345,00</w:t>
      </w:r>
      <w:r w:rsidR="00F1640D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kn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 (1.483.223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a odnose se na usluge tekućeg i investicijskog održavanja (popravke) </w:t>
      </w:r>
      <w:r w:rsidR="00F1640D">
        <w:rPr>
          <w:rFonts w:ascii="Arial" w:eastAsia="Calibri" w:hAnsi="Arial" w:cs="Arial"/>
          <w:sz w:val="22"/>
          <w:szCs w:val="22"/>
          <w:lang w:val="hr-HR"/>
        </w:rPr>
        <w:t xml:space="preserve">uredske opreme,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objekata, komunalne usluge i druge rashode vezane za objekte općine, </w:t>
      </w:r>
      <w:r w:rsidR="00F1640D" w:rsidRPr="00F1640D">
        <w:rPr>
          <w:rFonts w:ascii="Arial" w:eastAsia="Calibri" w:hAnsi="Arial" w:cs="Arial"/>
          <w:sz w:val="22"/>
          <w:szCs w:val="22"/>
          <w:lang w:val="hr-HR"/>
        </w:rPr>
        <w:t xml:space="preserve">usluge tekućeg i investicijskog održavanja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komunaln</w:t>
      </w:r>
      <w:r w:rsidR="008E09A7">
        <w:rPr>
          <w:rFonts w:ascii="Arial" w:eastAsia="Calibri" w:hAnsi="Arial" w:cs="Arial"/>
          <w:sz w:val="22"/>
          <w:szCs w:val="22"/>
          <w:lang w:val="hr-HR"/>
        </w:rPr>
        <w:t>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infrastruktur</w:t>
      </w:r>
      <w:r w:rsidR="008E09A7">
        <w:rPr>
          <w:rFonts w:ascii="Arial" w:eastAsia="Calibri" w:hAnsi="Arial" w:cs="Arial"/>
          <w:sz w:val="22"/>
          <w:szCs w:val="22"/>
          <w:lang w:val="hr-HR"/>
        </w:rPr>
        <w:t>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(za održavanje plaža, javnih površina, održavanje cesta, javne rasvjete i dr.), režijskih troškova, troškova rada predstavničkih tijela, te ostale rashode (mjesni odbori, eko renta, pričuva…) </w:t>
      </w:r>
    </w:p>
    <w:p w14:paraId="28F7FED3" w14:textId="31F5290C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Rashodi za zaposlene</w:t>
      </w:r>
      <w:r w:rsidR="009B5E5F">
        <w:rPr>
          <w:rFonts w:ascii="Arial" w:eastAsia="Calibri" w:hAnsi="Arial" w:cs="Arial"/>
          <w:b/>
          <w:sz w:val="22"/>
          <w:szCs w:val="22"/>
          <w:lang w:val="hr-HR"/>
        </w:rPr>
        <w:t xml:space="preserve">- skupina 31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planiraju se u iznosu od </w:t>
      </w:r>
      <w:r w:rsidR="00AB2DD4">
        <w:rPr>
          <w:rFonts w:ascii="Arial" w:eastAsia="Calibri" w:hAnsi="Arial" w:cs="Arial"/>
          <w:sz w:val="22"/>
          <w:szCs w:val="22"/>
          <w:lang w:val="hr-HR"/>
        </w:rPr>
        <w:t>10.031</w:t>
      </w:r>
      <w:r w:rsidR="008E09A7" w:rsidRPr="008E09A7">
        <w:rPr>
          <w:rFonts w:ascii="Arial" w:eastAsia="Calibri" w:hAnsi="Arial" w:cs="Arial"/>
          <w:sz w:val="22"/>
          <w:szCs w:val="22"/>
          <w:lang w:val="hr-HR"/>
        </w:rPr>
        <w:t>.519,73</w:t>
      </w:r>
      <w:r w:rsidR="008E09A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kn</w:t>
      </w:r>
      <w:r w:rsidR="009B5E5F">
        <w:rPr>
          <w:rFonts w:ascii="Arial" w:eastAsia="Calibri" w:hAnsi="Arial" w:cs="Arial"/>
          <w:sz w:val="22"/>
          <w:szCs w:val="22"/>
          <w:lang w:val="hr-HR"/>
        </w:rPr>
        <w:t xml:space="preserve"> (</w:t>
      </w:r>
      <w:r w:rsidR="009B5E5F" w:rsidRPr="009B5E5F">
        <w:rPr>
          <w:rFonts w:ascii="Arial" w:eastAsia="Calibri" w:hAnsi="Arial" w:cs="Arial"/>
          <w:sz w:val="22"/>
          <w:szCs w:val="22"/>
          <w:lang w:val="hr-HR"/>
        </w:rPr>
        <w:t>1.3</w:t>
      </w:r>
      <w:r w:rsidR="00AB2DD4">
        <w:rPr>
          <w:rFonts w:ascii="Arial" w:eastAsia="Calibri" w:hAnsi="Arial" w:cs="Arial"/>
          <w:sz w:val="22"/>
          <w:szCs w:val="22"/>
          <w:lang w:val="hr-HR"/>
        </w:rPr>
        <w:t>31.411</w:t>
      </w:r>
      <w:r w:rsidR="009B5E5F">
        <w:rPr>
          <w:rFonts w:ascii="Arial" w:eastAsia="Calibri" w:hAnsi="Arial" w:cs="Arial"/>
          <w:sz w:val="22"/>
          <w:szCs w:val="22"/>
          <w:lang w:val="hr-HR"/>
        </w:rPr>
        <w:t xml:space="preserve">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što predstavlja 1</w:t>
      </w:r>
      <w:r w:rsidR="00356E68">
        <w:rPr>
          <w:rFonts w:ascii="Arial" w:eastAsia="Calibri" w:hAnsi="Arial" w:cs="Arial"/>
          <w:sz w:val="22"/>
          <w:szCs w:val="22"/>
          <w:lang w:val="hr-HR"/>
        </w:rPr>
        <w:t>9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% u odnosu na rashode poslovanja te uz službenike i namještenike općinske uprave, obuhvaćaju i rashode za zaposlene na provedbi EU projekata koji se financiraju iz EU sredstava u iznosu od 1.000.000,00 kn 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(132.722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i zaposlenih u JVP Podstrana u iznosu od </w:t>
      </w:r>
      <w:r w:rsidR="008750D8" w:rsidRPr="008750D8">
        <w:rPr>
          <w:rFonts w:ascii="Arial" w:eastAsia="Calibri" w:hAnsi="Arial" w:cs="Arial"/>
          <w:sz w:val="22"/>
          <w:szCs w:val="22"/>
          <w:lang w:val="hr-HR"/>
        </w:rPr>
        <w:t>2.215.519</w:t>
      </w:r>
      <w:r w:rsidR="008750D8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kn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 (294.050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CF7A23E" w14:textId="06132F25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Financijski rashodi</w:t>
      </w:r>
      <w:r w:rsidR="009B5E5F">
        <w:rPr>
          <w:rFonts w:ascii="Arial" w:eastAsia="Calibri" w:hAnsi="Arial" w:cs="Arial"/>
          <w:b/>
          <w:sz w:val="22"/>
          <w:szCs w:val="22"/>
          <w:lang w:val="hr-HR"/>
        </w:rPr>
        <w:t>- skupina 34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se planiraju u iznosu od 218.027,60 kn</w:t>
      </w:r>
      <w:r w:rsidR="009B5E5F">
        <w:rPr>
          <w:rFonts w:ascii="Arial" w:eastAsia="Calibri" w:hAnsi="Arial" w:cs="Arial"/>
          <w:sz w:val="22"/>
          <w:szCs w:val="22"/>
          <w:lang w:val="hr-HR"/>
        </w:rPr>
        <w:t xml:space="preserve"> (</w:t>
      </w:r>
      <w:r w:rsidR="009B5E5F" w:rsidRPr="009B5E5F">
        <w:rPr>
          <w:rFonts w:ascii="Arial" w:eastAsia="Calibri" w:hAnsi="Arial" w:cs="Arial"/>
          <w:sz w:val="22"/>
          <w:szCs w:val="22"/>
          <w:lang w:val="hr-HR"/>
        </w:rPr>
        <w:t>28.937</w:t>
      </w:r>
      <w:r w:rsidR="009B5E5F">
        <w:rPr>
          <w:rFonts w:ascii="Arial" w:eastAsia="Calibri" w:hAnsi="Arial" w:cs="Arial"/>
          <w:sz w:val="22"/>
          <w:szCs w:val="22"/>
          <w:lang w:val="hr-HR"/>
        </w:rPr>
        <w:t xml:space="preserve">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a odnose se na financijske rashode za bankarske usluge i povezane usluge platnog prometa.</w:t>
      </w:r>
    </w:p>
    <w:p w14:paraId="53180A33" w14:textId="7A0535DC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Rashodi u </w:t>
      </w:r>
      <w:r w:rsidR="009B5E5F" w:rsidRPr="009B5E5F">
        <w:rPr>
          <w:rFonts w:ascii="Arial" w:eastAsia="Calibri" w:hAnsi="Arial" w:cs="Arial"/>
          <w:b/>
          <w:bCs/>
          <w:sz w:val="22"/>
          <w:szCs w:val="22"/>
          <w:lang w:val="hr-HR"/>
        </w:rPr>
        <w:t>skupini 35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Subvencije </w:t>
      </w:r>
      <w:r w:rsidR="009B5E5F" w:rsidRPr="009B5E5F">
        <w:rPr>
          <w:rFonts w:ascii="Arial" w:eastAsia="Calibri" w:hAnsi="Arial" w:cs="Arial"/>
          <w:sz w:val="22"/>
          <w:szCs w:val="22"/>
          <w:lang w:val="hr-HR"/>
        </w:rPr>
        <w:t>u iznosu od 9.450.000,00 kn (1.254.231 Eur)</w:t>
      </w:r>
      <w:r w:rsidR="009B5E5F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odnose se na subvencije poduzeću Promet d.o.o. kao subvencija prijevoza naših mještana javnim gradskim prometom na području Općine Podstrana i grada Splita u iznosu 1.370.000,00 kn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 (181.830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te iznos od </w:t>
      </w:r>
      <w:r w:rsidR="00356E68">
        <w:rPr>
          <w:rFonts w:ascii="Arial" w:eastAsia="Calibri" w:hAnsi="Arial" w:cs="Arial"/>
          <w:sz w:val="22"/>
          <w:szCs w:val="22"/>
          <w:lang w:val="hr-HR"/>
        </w:rPr>
        <w:t>1.0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00.000,00 kn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8E3746" w:rsidRPr="008E3746">
        <w:rPr>
          <w:rFonts w:ascii="Arial" w:eastAsia="Calibri" w:hAnsi="Arial" w:cs="Arial"/>
          <w:sz w:val="22"/>
          <w:szCs w:val="22"/>
          <w:lang w:val="hr-HR"/>
        </w:rPr>
        <w:t xml:space="preserve">(132.722 </w:t>
      </w:r>
      <w:proofErr w:type="spellStart"/>
      <w:r w:rsidR="008E3746" w:rsidRP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 w:rsidRPr="008E3746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kao subvencija poduzeću Vodovod i kanalizacija d.o.o. za izgradnju sustava vodoopskrbe Gornje Podstrana, za dio koji nije financiran iz sredstava Aglomeracije. </w:t>
      </w:r>
    </w:p>
    <w:p w14:paraId="5C4C3306" w14:textId="4F434469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Najveći dio subvencija, u iznosu od 7.800.000,00 kn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 (1.035.238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odnosi se na sufinanciranje boravka djece u ustanovama koje obavljaju djelatnost odgoja i čuvanja djece.</w:t>
      </w:r>
    </w:p>
    <w:p w14:paraId="724E479E" w14:textId="28C118B3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Pomoći dane u inozemstvo i unutar općeg proračuna</w:t>
      </w:r>
      <w:r w:rsidR="009B5E5F">
        <w:rPr>
          <w:rFonts w:ascii="Arial" w:eastAsia="Calibri" w:hAnsi="Arial" w:cs="Arial"/>
          <w:b/>
          <w:sz w:val="22"/>
          <w:szCs w:val="22"/>
          <w:lang w:val="hr-HR"/>
        </w:rPr>
        <w:t>- skupina 36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u iznosu 3</w:t>
      </w:r>
      <w:r w:rsidR="008750D8">
        <w:rPr>
          <w:rFonts w:ascii="Arial" w:eastAsia="Calibri" w:hAnsi="Arial" w:cs="Arial"/>
          <w:bCs/>
          <w:sz w:val="22"/>
          <w:szCs w:val="22"/>
          <w:lang w:val="hr-HR"/>
        </w:rPr>
        <w:t>1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9.000,00 kn</w:t>
      </w:r>
      <w:r w:rsidR="009B5E5F">
        <w:rPr>
          <w:rFonts w:ascii="Arial" w:eastAsia="Calibri" w:hAnsi="Arial" w:cs="Arial"/>
          <w:bCs/>
          <w:sz w:val="22"/>
          <w:szCs w:val="22"/>
          <w:lang w:val="hr-HR"/>
        </w:rPr>
        <w:t xml:space="preserve"> (</w:t>
      </w:r>
      <w:r w:rsidR="009B5E5F" w:rsidRPr="009B5E5F">
        <w:rPr>
          <w:rFonts w:ascii="Arial" w:eastAsia="Calibri" w:hAnsi="Arial" w:cs="Arial"/>
          <w:bCs/>
          <w:sz w:val="22"/>
          <w:szCs w:val="22"/>
          <w:lang w:val="hr-HR"/>
        </w:rPr>
        <w:t>42.339</w:t>
      </w:r>
      <w:r w:rsidR="009B5E5F">
        <w:rPr>
          <w:rFonts w:ascii="Arial" w:eastAsia="Calibri" w:hAnsi="Arial" w:cs="Arial"/>
          <w:bCs/>
          <w:sz w:val="22"/>
          <w:szCs w:val="22"/>
          <w:lang w:val="hr-HR"/>
        </w:rPr>
        <w:t xml:space="preserve"> Eur)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 xml:space="preserve"> odnose se na financiranje rada „Gradske knjižnice Marko Marulić – Split“ 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lastRenderedPageBreak/>
        <w:t>knjižnica Podstrana, financiranje obnove zemljišne knjige K.O. Gornja Podstrana, te prijenosa gradu Omišu u preojektu izgradnje NGA mreže.</w:t>
      </w:r>
    </w:p>
    <w:p w14:paraId="401E5B74" w14:textId="52523E60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 xml:space="preserve">U </w:t>
      </w:r>
      <w:r w:rsidRPr="009B5E5F">
        <w:rPr>
          <w:rFonts w:ascii="Arial" w:eastAsia="Calibri" w:hAnsi="Arial" w:cs="Arial"/>
          <w:b/>
          <w:sz w:val="22"/>
          <w:szCs w:val="22"/>
          <w:lang w:val="hr-HR"/>
        </w:rPr>
        <w:t xml:space="preserve">skupini </w:t>
      </w:r>
      <w:r w:rsidR="009B5E5F" w:rsidRPr="009B5E5F">
        <w:rPr>
          <w:rFonts w:ascii="Arial" w:eastAsia="Calibri" w:hAnsi="Arial" w:cs="Arial"/>
          <w:b/>
          <w:sz w:val="22"/>
          <w:szCs w:val="22"/>
          <w:lang w:val="hr-HR"/>
        </w:rPr>
        <w:t>37</w:t>
      </w:r>
      <w:r w:rsidR="009B5E5F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Naknade građanima i kućanstvima na temelju osiguranja i druge naknade 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planirani</w:t>
      </w: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su</w:t>
      </w: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 xml:space="preserve">rashodi u iznosu od </w:t>
      </w:r>
      <w:r w:rsidR="00B845CA" w:rsidRPr="00B845CA">
        <w:rPr>
          <w:rFonts w:ascii="Arial" w:eastAsia="Calibri" w:hAnsi="Arial" w:cs="Arial"/>
          <w:bCs/>
          <w:sz w:val="22"/>
          <w:szCs w:val="22"/>
          <w:lang w:val="hr-HR"/>
        </w:rPr>
        <w:t>3.048.000,00</w:t>
      </w:r>
      <w:r w:rsidR="00B845CA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kn</w:t>
      </w:r>
      <w:r w:rsidR="009B5E5F">
        <w:rPr>
          <w:rFonts w:ascii="Arial" w:eastAsia="Calibri" w:hAnsi="Arial" w:cs="Arial"/>
          <w:bCs/>
          <w:sz w:val="22"/>
          <w:szCs w:val="22"/>
          <w:lang w:val="hr-HR"/>
        </w:rPr>
        <w:t xml:space="preserve"> (</w:t>
      </w:r>
      <w:r w:rsidR="00B845CA" w:rsidRPr="00B845CA">
        <w:rPr>
          <w:rFonts w:ascii="Arial" w:eastAsia="Calibri" w:hAnsi="Arial" w:cs="Arial"/>
          <w:bCs/>
          <w:sz w:val="22"/>
          <w:szCs w:val="22"/>
          <w:lang w:val="hr-HR"/>
        </w:rPr>
        <w:t xml:space="preserve">404.539 </w:t>
      </w:r>
      <w:proofErr w:type="spellStart"/>
      <w:r w:rsidR="009B5E5F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B5E5F">
        <w:rPr>
          <w:rFonts w:ascii="Arial" w:eastAsia="Calibri" w:hAnsi="Arial" w:cs="Arial"/>
          <w:bCs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bCs/>
          <w:sz w:val="22"/>
          <w:szCs w:val="22"/>
          <w:lang w:val="hr-HR"/>
        </w:rPr>
        <w:t>, a odnose se na program socijalne skrbi, odnosno naknade građanima u novcu kao vid jednokratne pomoći, poklona za novorođenčad, kupnju knjiga za osnovnoškolce i srednjoškolce, subvenciju za prijevoz učenika i slično.</w:t>
      </w:r>
    </w:p>
    <w:p w14:paraId="67A75013" w14:textId="3C60BF5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U </w:t>
      </w:r>
      <w:r w:rsidRPr="009B5E5F">
        <w:rPr>
          <w:rFonts w:ascii="Arial" w:eastAsia="Calibri" w:hAnsi="Arial" w:cs="Arial"/>
          <w:b/>
          <w:bCs/>
          <w:sz w:val="22"/>
          <w:szCs w:val="22"/>
          <w:lang w:val="hr-HR"/>
        </w:rPr>
        <w:t>skupinu</w:t>
      </w:r>
      <w:r w:rsidR="009B5E5F" w:rsidRPr="009B5E5F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38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 ostalih rashoda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se ubrajaju tekuće i kapitalne donacije organizacijama u kulturi, športu, predškolskom odgoju, te vjerskim zajednicama, a ovi rashodi ukupno iznose </w:t>
      </w:r>
      <w:r w:rsidR="00B845CA" w:rsidRPr="00B845CA">
        <w:rPr>
          <w:rFonts w:ascii="Arial" w:eastAsia="Calibri" w:hAnsi="Arial" w:cs="Arial"/>
          <w:sz w:val="22"/>
          <w:szCs w:val="22"/>
          <w:lang w:val="hr-HR"/>
        </w:rPr>
        <w:t>5.725.000,00</w:t>
      </w:r>
      <w:r w:rsidR="00B845CA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kn</w:t>
      </w:r>
      <w:r w:rsidR="009B5E5F">
        <w:rPr>
          <w:rFonts w:ascii="Arial" w:eastAsia="Calibri" w:hAnsi="Arial" w:cs="Arial"/>
          <w:sz w:val="22"/>
          <w:szCs w:val="22"/>
          <w:lang w:val="hr-HR"/>
        </w:rPr>
        <w:t xml:space="preserve"> (</w:t>
      </w:r>
      <w:r w:rsidR="00B845CA" w:rsidRPr="00B845CA">
        <w:rPr>
          <w:rFonts w:ascii="Arial" w:eastAsia="Calibri" w:hAnsi="Arial" w:cs="Arial"/>
          <w:sz w:val="22"/>
          <w:szCs w:val="22"/>
          <w:lang w:val="hr-HR"/>
        </w:rPr>
        <w:t xml:space="preserve">759.838 </w:t>
      </w:r>
      <w:proofErr w:type="spellStart"/>
      <w:r w:rsidR="009B5E5F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B5E5F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a gotovo 90 % ovih rashoda odnosi se na tekuće donacije koje su prikazane po aktivnostima u posebnom dijelu proračuna.</w:t>
      </w:r>
    </w:p>
    <w:p w14:paraId="18B7C810" w14:textId="1B643930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u w:val="single"/>
          <w:lang w:val="hr-HR"/>
        </w:rPr>
        <w:t>Rashodi za nabavu nefinancijske imovine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u iznos</w:t>
      </w:r>
      <w:r w:rsidR="008750D8">
        <w:rPr>
          <w:rFonts w:ascii="Arial" w:eastAsia="Calibri" w:hAnsi="Arial" w:cs="Arial"/>
          <w:sz w:val="22"/>
          <w:szCs w:val="22"/>
          <w:lang w:val="hr-HR"/>
        </w:rPr>
        <w:t>u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od </w:t>
      </w:r>
      <w:r w:rsidR="00B845CA" w:rsidRPr="00B845CA">
        <w:rPr>
          <w:rFonts w:ascii="Arial" w:eastAsia="Calibri" w:hAnsi="Arial" w:cs="Arial"/>
          <w:sz w:val="22"/>
          <w:szCs w:val="22"/>
          <w:lang w:val="hr-HR"/>
        </w:rPr>
        <w:t>42.294.844,50</w:t>
      </w:r>
      <w:r w:rsidR="00B845CA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kn</w:t>
      </w:r>
      <w:r w:rsidR="009B5E5F">
        <w:rPr>
          <w:rFonts w:ascii="Arial" w:eastAsia="Calibri" w:hAnsi="Arial" w:cs="Arial"/>
          <w:sz w:val="22"/>
          <w:szCs w:val="22"/>
          <w:lang w:val="hr-HR"/>
        </w:rPr>
        <w:t xml:space="preserve"> ( </w:t>
      </w:r>
      <w:r w:rsidR="00B845CA" w:rsidRPr="00B845CA">
        <w:rPr>
          <w:rFonts w:ascii="Arial" w:eastAsia="Calibri" w:hAnsi="Arial" w:cs="Arial"/>
          <w:sz w:val="22"/>
          <w:szCs w:val="22"/>
          <w:lang w:val="hr-HR"/>
        </w:rPr>
        <w:t xml:space="preserve">5.613.491 </w:t>
      </w:r>
      <w:proofErr w:type="spellStart"/>
      <w:r w:rsidR="009B5E5F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B5E5F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raspoređeni su u slijedeće skupine:</w:t>
      </w:r>
    </w:p>
    <w:p w14:paraId="5D82DB83" w14:textId="35E69B03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Rashodi za nabavu neproizvedene dugotrajne imovine</w:t>
      </w:r>
      <w:r w:rsidR="009B5E5F">
        <w:rPr>
          <w:rFonts w:ascii="Arial" w:eastAsia="Calibri" w:hAnsi="Arial" w:cs="Arial"/>
          <w:b/>
          <w:sz w:val="22"/>
          <w:szCs w:val="22"/>
          <w:lang w:val="hr-HR"/>
        </w:rPr>
        <w:t xml:space="preserve"> skupine 41 </w:t>
      </w:r>
      <w:r w:rsidR="009B5E5F" w:rsidRPr="009B5E5F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od </w:t>
      </w:r>
      <w:r w:rsidR="00B845CA" w:rsidRPr="00B845CA">
        <w:rPr>
          <w:rFonts w:ascii="Arial" w:eastAsia="Calibri" w:hAnsi="Arial" w:cs="Arial"/>
          <w:bCs/>
          <w:sz w:val="22"/>
          <w:szCs w:val="22"/>
          <w:lang w:val="hr-HR"/>
        </w:rPr>
        <w:t>17.027.000,00</w:t>
      </w:r>
      <w:r w:rsidR="00B845CA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="009B5E5F" w:rsidRPr="009B5E5F">
        <w:rPr>
          <w:rFonts w:ascii="Arial" w:eastAsia="Calibri" w:hAnsi="Arial" w:cs="Arial"/>
          <w:bCs/>
          <w:sz w:val="22"/>
          <w:szCs w:val="22"/>
          <w:lang w:val="hr-HR"/>
        </w:rPr>
        <w:t>kn (</w:t>
      </w:r>
      <w:r w:rsidR="00B845CA" w:rsidRPr="00B845CA">
        <w:rPr>
          <w:rFonts w:ascii="Arial" w:eastAsia="Calibri" w:hAnsi="Arial" w:cs="Arial"/>
          <w:bCs/>
          <w:sz w:val="22"/>
          <w:szCs w:val="22"/>
          <w:lang w:val="hr-HR"/>
        </w:rPr>
        <w:t>2.259.871</w:t>
      </w:r>
      <w:r w:rsidR="00B845CA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9B5E5F" w:rsidRPr="009B5E5F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B5E5F" w:rsidRPr="009B5E5F">
        <w:rPr>
          <w:rFonts w:ascii="Arial" w:eastAsia="Calibri" w:hAnsi="Arial" w:cs="Arial"/>
          <w:bCs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koji se odnose na kupnju zemljišta </w:t>
      </w:r>
      <w:r w:rsidR="008750D8">
        <w:rPr>
          <w:rFonts w:ascii="Arial" w:eastAsia="Calibri" w:hAnsi="Arial" w:cs="Arial"/>
          <w:sz w:val="22"/>
          <w:szCs w:val="22"/>
          <w:lang w:val="hr-HR"/>
        </w:rPr>
        <w:t xml:space="preserve">planirani su u sljedećim iznosima i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za</w:t>
      </w:r>
      <w:r w:rsidR="008750D8">
        <w:rPr>
          <w:rFonts w:ascii="Arial" w:eastAsia="Calibri" w:hAnsi="Arial" w:cs="Arial"/>
          <w:sz w:val="22"/>
          <w:szCs w:val="22"/>
          <w:lang w:val="hr-HR"/>
        </w:rPr>
        <w:t xml:space="preserve"> sljedeće namjene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: </w:t>
      </w:r>
    </w:p>
    <w:p w14:paraId="002C184B" w14:textId="6DCC1125" w:rsidR="004C05C7" w:rsidRDefault="004C05C7" w:rsidP="003753C4">
      <w:pPr>
        <w:numPr>
          <w:ilvl w:val="0"/>
          <w:numId w:val="11"/>
        </w:numPr>
        <w:tabs>
          <w:tab w:val="left" w:pos="1701"/>
        </w:tabs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naknada za izvlaštenje </w:t>
      </w:r>
      <w:r w:rsidR="00356E68">
        <w:rPr>
          <w:rFonts w:ascii="Arial" w:eastAsia="Calibri" w:hAnsi="Arial" w:cs="Arial"/>
          <w:sz w:val="22"/>
          <w:szCs w:val="22"/>
          <w:lang w:val="hr-HR"/>
        </w:rPr>
        <w:t>zemljišta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="00E464CB">
        <w:rPr>
          <w:rFonts w:ascii="Arial" w:eastAsia="Calibri" w:hAnsi="Arial" w:cs="Arial"/>
          <w:sz w:val="22"/>
          <w:szCs w:val="22"/>
          <w:lang w:val="hr-HR"/>
        </w:rPr>
        <w:t xml:space="preserve">   265.445 </w:t>
      </w:r>
      <w:proofErr w:type="spellStart"/>
      <w:r w:rsidR="00E464CB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224541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0588FB37" w14:textId="77777777" w:rsidR="00356E68" w:rsidRPr="004C05C7" w:rsidRDefault="00356E68" w:rsidP="008750D8">
      <w:pPr>
        <w:tabs>
          <w:tab w:val="left" w:pos="1701"/>
        </w:tabs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6ACB7B5" w14:textId="6246F1CC" w:rsidR="004C05C7" w:rsidRPr="004C05C7" w:rsidRDefault="004C05C7" w:rsidP="003753C4">
      <w:pPr>
        <w:numPr>
          <w:ilvl w:val="0"/>
          <w:numId w:val="11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proširenje i izgradnju cesta u iznosu od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="00E464CB">
        <w:rPr>
          <w:rFonts w:ascii="Arial" w:eastAsia="Calibri" w:hAnsi="Arial" w:cs="Arial"/>
          <w:sz w:val="22"/>
          <w:szCs w:val="22"/>
          <w:lang w:val="hr-HR"/>
        </w:rPr>
        <w:t>1.2</w:t>
      </w:r>
      <w:r w:rsidR="00B845CA">
        <w:rPr>
          <w:rFonts w:ascii="Arial" w:eastAsia="Calibri" w:hAnsi="Arial" w:cs="Arial"/>
          <w:sz w:val="22"/>
          <w:szCs w:val="22"/>
          <w:lang w:val="hr-HR"/>
        </w:rPr>
        <w:t>63</w:t>
      </w:r>
      <w:r w:rsidR="00E464CB">
        <w:rPr>
          <w:rFonts w:ascii="Arial" w:eastAsia="Calibri" w:hAnsi="Arial" w:cs="Arial"/>
          <w:sz w:val="22"/>
          <w:szCs w:val="22"/>
          <w:lang w:val="hr-HR"/>
        </w:rPr>
        <w:t>.</w:t>
      </w:r>
      <w:r w:rsidR="00B845CA">
        <w:rPr>
          <w:rFonts w:ascii="Arial" w:eastAsia="Calibri" w:hAnsi="Arial" w:cs="Arial"/>
          <w:sz w:val="22"/>
          <w:szCs w:val="22"/>
          <w:lang w:val="hr-HR"/>
        </w:rPr>
        <w:t>123</w:t>
      </w:r>
      <w:r w:rsidR="00E464CB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1B107905" w14:textId="6A565A55" w:rsidR="004C05C7" w:rsidRPr="004C05C7" w:rsidRDefault="008750D8" w:rsidP="003753C4">
      <w:pPr>
        <w:numPr>
          <w:ilvl w:val="0"/>
          <w:numId w:val="11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za 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OŠ „Sveti Martin“ 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 xml:space="preserve">                     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="00E464CB">
        <w:rPr>
          <w:rFonts w:ascii="Arial" w:eastAsia="Calibri" w:hAnsi="Arial" w:cs="Arial"/>
          <w:sz w:val="22"/>
          <w:szCs w:val="22"/>
          <w:lang w:val="hr-HR"/>
        </w:rPr>
        <w:t xml:space="preserve">   399.496 </w:t>
      </w:r>
      <w:proofErr w:type="spellStart"/>
      <w:r w:rsidR="00E464CB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61FF63A5" w14:textId="091B9A66" w:rsidR="004C05C7" w:rsidRPr="004C05C7" w:rsidRDefault="004C05C7" w:rsidP="003753C4">
      <w:pPr>
        <w:numPr>
          <w:ilvl w:val="0"/>
          <w:numId w:val="11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za braniteljske stanove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  <w:t xml:space="preserve">          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="00E464CB">
        <w:rPr>
          <w:rFonts w:ascii="Arial" w:eastAsia="Calibri" w:hAnsi="Arial" w:cs="Arial"/>
          <w:sz w:val="22"/>
          <w:szCs w:val="22"/>
          <w:lang w:val="hr-HR"/>
        </w:rPr>
        <w:t xml:space="preserve">   199.084 </w:t>
      </w:r>
      <w:proofErr w:type="spellStart"/>
      <w:r w:rsidR="00E464CB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1D9E9EF0" w14:textId="0B44E9DA" w:rsidR="004C05C7" w:rsidRPr="004C05C7" w:rsidRDefault="004C05C7" w:rsidP="003753C4">
      <w:pPr>
        <w:numPr>
          <w:ilvl w:val="0"/>
          <w:numId w:val="11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za dječja igrališta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  <w:r w:rsidR="00E464CB">
        <w:rPr>
          <w:rFonts w:ascii="Arial" w:eastAsia="Calibri" w:hAnsi="Arial" w:cs="Arial"/>
          <w:sz w:val="22"/>
          <w:szCs w:val="22"/>
          <w:lang w:val="hr-HR"/>
        </w:rPr>
        <w:t xml:space="preserve">   132.723 </w:t>
      </w:r>
      <w:proofErr w:type="spellStart"/>
      <w:r w:rsidR="00E464CB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6944298A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6FA707E" w14:textId="397DECF6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11" w:name="_Hlk530584126"/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Rashodi za nabavu proizvedene dugotrajne imovine</w:t>
      </w:r>
      <w:bookmarkEnd w:id="11"/>
      <w:r w:rsidR="009B5E5F">
        <w:rPr>
          <w:rFonts w:ascii="Arial" w:eastAsia="Calibri" w:hAnsi="Arial" w:cs="Arial"/>
          <w:b/>
          <w:sz w:val="22"/>
          <w:szCs w:val="22"/>
          <w:lang w:val="hr-HR"/>
        </w:rPr>
        <w:t xml:space="preserve"> skupine 42 </w:t>
      </w:r>
      <w:r w:rsidR="009B5E5F" w:rsidRPr="009B5E5F">
        <w:rPr>
          <w:rFonts w:ascii="Arial" w:eastAsia="Calibri" w:hAnsi="Arial" w:cs="Arial"/>
          <w:bCs/>
          <w:sz w:val="22"/>
          <w:szCs w:val="22"/>
          <w:lang w:val="hr-HR"/>
        </w:rPr>
        <w:t>planiraju se u iznosu od 13.011.810.50 kn (1.726.964 Eur)</w:t>
      </w:r>
      <w:r w:rsidR="009B5E5F">
        <w:rPr>
          <w:rFonts w:ascii="Arial" w:eastAsia="Calibri" w:hAnsi="Arial" w:cs="Arial"/>
          <w:sz w:val="22"/>
          <w:szCs w:val="22"/>
          <w:lang w:val="hr-HR"/>
        </w:rPr>
        <w:t xml:space="preserve">, a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obuhvaćaju rashode za nabavku opreme i namještaja, uređaja</w:t>
      </w:r>
      <w:r w:rsidR="007A1EC7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strojeva</w:t>
      </w:r>
      <w:r w:rsidR="007A1EC7">
        <w:rPr>
          <w:rFonts w:ascii="Arial" w:eastAsia="Calibri" w:hAnsi="Arial" w:cs="Arial"/>
          <w:sz w:val="22"/>
          <w:szCs w:val="22"/>
          <w:lang w:val="hr-HR"/>
        </w:rPr>
        <w:t xml:space="preserve"> te komunalne opreme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7A1EC7">
        <w:rPr>
          <w:rFonts w:ascii="Arial" w:eastAsia="Calibri" w:hAnsi="Arial" w:cs="Arial"/>
          <w:sz w:val="22"/>
          <w:szCs w:val="22"/>
          <w:lang w:val="hr-HR"/>
        </w:rPr>
        <w:t>1.836.810,00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kn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 (243.787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a </w:t>
      </w:r>
      <w:r w:rsidR="007A1EC7">
        <w:rPr>
          <w:rFonts w:ascii="Arial" w:eastAsia="Calibri" w:hAnsi="Arial" w:cs="Arial"/>
          <w:sz w:val="22"/>
          <w:szCs w:val="22"/>
          <w:lang w:val="hr-HR"/>
        </w:rPr>
        <w:t>11.095.000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,00 kn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 (1.472.560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>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odnosi se u na izgradnju komunalne infrastrukture</w:t>
      </w:r>
      <w:r w:rsidR="007A1E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kako je detaljno objašnjeno u Planu građenja i okviru programske klasifikacije proračuna. Iznos od 3</w:t>
      </w:r>
      <w:r w:rsidR="007A1EC7">
        <w:rPr>
          <w:rFonts w:ascii="Arial" w:eastAsia="Calibri" w:hAnsi="Arial" w:cs="Arial"/>
          <w:sz w:val="22"/>
          <w:szCs w:val="22"/>
          <w:lang w:val="hr-HR"/>
        </w:rPr>
        <w:t>2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5.000,00 kn 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(43.135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)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planiran je kao rashod za </w:t>
      </w:r>
      <w:r w:rsidR="007A1EC7">
        <w:rPr>
          <w:rFonts w:ascii="Arial" w:eastAsia="Calibri" w:hAnsi="Arial" w:cs="Arial"/>
          <w:sz w:val="22"/>
          <w:szCs w:val="22"/>
          <w:lang w:val="hr-HR"/>
        </w:rPr>
        <w:t>arheološka istraživanja u Sv. Martinu i restauraciju i konzervaciju umjetničkih djela u posjedu općine.</w:t>
      </w:r>
    </w:p>
    <w:p w14:paraId="00BA780E" w14:textId="2015E226" w:rsidR="004C05C7" w:rsidRDefault="009B5E5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B5E5F">
        <w:rPr>
          <w:rFonts w:ascii="Arial" w:eastAsia="Calibri" w:hAnsi="Arial" w:cs="Arial"/>
          <w:b/>
          <w:bCs/>
          <w:sz w:val="22"/>
          <w:szCs w:val="22"/>
          <w:lang w:val="hr-HR"/>
        </w:rPr>
        <w:t>S</w:t>
      </w:r>
      <w:r w:rsidR="004C05C7" w:rsidRPr="009B5E5F">
        <w:rPr>
          <w:rFonts w:ascii="Arial" w:eastAsia="Calibri" w:hAnsi="Arial" w:cs="Arial"/>
          <w:b/>
          <w:bCs/>
          <w:sz w:val="22"/>
          <w:szCs w:val="22"/>
          <w:lang w:val="hr-HR"/>
        </w:rPr>
        <w:t>kupina rashoda</w:t>
      </w:r>
      <w:r w:rsidRPr="009B5E5F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45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obuhvaća i </w:t>
      </w:r>
      <w:r w:rsidR="004C05C7"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rashode za dodatna ulaganja na nefinancijskoj imovini, 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tj. dodatna ulaganja na rekonstrukciji i proširenju javne rasvjete, nerazvrstanih cesta, groblja Ban i ostalih općinskih objekata, u sveukupnom iznosu od </w:t>
      </w:r>
      <w:r w:rsidR="00CB5829" w:rsidRPr="00CB5829">
        <w:rPr>
          <w:rFonts w:ascii="Arial" w:hAnsi="Arial" w:cs="Arial"/>
          <w:sz w:val="22"/>
          <w:szCs w:val="22"/>
          <w:lang w:val="hr-HR"/>
        </w:rPr>
        <w:t>12.256.034,00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>kn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(</w:t>
      </w:r>
      <w:r w:rsidR="00CB5829" w:rsidRPr="00CB5829">
        <w:rPr>
          <w:rFonts w:ascii="Arial" w:hAnsi="Arial" w:cs="Arial"/>
          <w:sz w:val="22"/>
          <w:szCs w:val="22"/>
          <w:lang w:val="hr-HR"/>
        </w:rPr>
        <w:t xml:space="preserve">1.626.655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>)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, od čega najveći iznos otpada na rekonstrukciju i proširenje javne rasvjete, u iznosu od </w:t>
      </w:r>
      <w:r w:rsidR="00CB5829">
        <w:rPr>
          <w:rFonts w:ascii="Arial" w:eastAsia="Calibri" w:hAnsi="Arial" w:cs="Arial"/>
          <w:sz w:val="22"/>
          <w:szCs w:val="22"/>
          <w:lang w:val="hr-HR"/>
        </w:rPr>
        <w:t>3.736.034,00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 kn</w:t>
      </w:r>
      <w:r w:rsidR="008E3746">
        <w:rPr>
          <w:rFonts w:ascii="Arial" w:eastAsia="Calibri" w:hAnsi="Arial" w:cs="Arial"/>
          <w:sz w:val="22"/>
          <w:szCs w:val="22"/>
          <w:lang w:val="hr-HR"/>
        </w:rPr>
        <w:t xml:space="preserve"> (495.856,92 </w:t>
      </w:r>
      <w:proofErr w:type="spellStart"/>
      <w:r w:rsidR="008E3746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E3746">
        <w:rPr>
          <w:rFonts w:ascii="Arial" w:eastAsia="Calibri" w:hAnsi="Arial" w:cs="Arial"/>
          <w:sz w:val="22"/>
          <w:szCs w:val="22"/>
          <w:lang w:val="hr-HR"/>
        </w:rPr>
        <w:t>)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6763839" w14:textId="77777777" w:rsidR="009B5E5F" w:rsidRDefault="009B5E5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ADA69AD" w14:textId="16E73605" w:rsidR="00A64A83" w:rsidRPr="004C05C7" w:rsidRDefault="00A64A83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Planirani </w:t>
      </w:r>
      <w:r w:rsidR="009B5E5F">
        <w:rPr>
          <w:rFonts w:ascii="Arial" w:eastAsia="Calibri" w:hAnsi="Arial" w:cs="Arial"/>
          <w:b/>
          <w:bCs/>
          <w:sz w:val="22"/>
          <w:szCs w:val="22"/>
          <w:lang w:val="hr-HR"/>
        </w:rPr>
        <w:t>IZDACI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za depozite i jamčevne pologe odnose se na višak neutrošenih sredstava proračuna na kraju planirane proračunske godine, koje se planiraju prenijeti na štedni račun kod poslovne banke, a planirani su u iznosu od 10.000.000,00 kn</w:t>
      </w:r>
      <w:r w:rsidR="00916A06">
        <w:rPr>
          <w:rFonts w:ascii="Arial" w:eastAsia="Calibri" w:hAnsi="Arial" w:cs="Arial"/>
          <w:sz w:val="22"/>
          <w:szCs w:val="22"/>
          <w:lang w:val="hr-HR"/>
        </w:rPr>
        <w:t xml:space="preserve"> (</w:t>
      </w:r>
      <w:r w:rsidR="00916A06" w:rsidRPr="00916A06">
        <w:rPr>
          <w:rFonts w:ascii="Arial" w:eastAsia="Calibri" w:hAnsi="Arial" w:cs="Arial"/>
          <w:sz w:val="22"/>
          <w:szCs w:val="22"/>
          <w:lang w:val="hr-HR"/>
        </w:rPr>
        <w:t>1.327.228,08</w:t>
      </w:r>
      <w:r w:rsidR="00916A06">
        <w:rPr>
          <w:rFonts w:ascii="Arial" w:eastAsia="Calibri" w:hAnsi="Arial" w:cs="Arial"/>
          <w:sz w:val="22"/>
          <w:szCs w:val="22"/>
          <w:lang w:val="hr-HR"/>
        </w:rPr>
        <w:t xml:space="preserve">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kao što je prikazano u računu financiranja.</w:t>
      </w:r>
    </w:p>
    <w:p w14:paraId="3B069709" w14:textId="23381E40" w:rsidR="00A64A83" w:rsidRDefault="00A64A8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AED4D6D" w14:textId="77777777" w:rsidR="002516BE" w:rsidRPr="004C05C7" w:rsidRDefault="002516BE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A9E5800" w14:textId="17591C70" w:rsidR="006F4184" w:rsidRPr="006F4184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6F4184">
        <w:rPr>
          <w:rFonts w:ascii="Arial" w:eastAsia="Calibri" w:hAnsi="Arial" w:cs="Arial"/>
          <w:b/>
          <w:bCs/>
          <w:sz w:val="22"/>
          <w:szCs w:val="22"/>
          <w:lang w:val="hr-HR"/>
        </w:rPr>
        <w:lastRenderedPageBreak/>
        <w:t>3) PRENESENI VIŠAK PRORAČUNA</w:t>
      </w:r>
    </w:p>
    <w:p w14:paraId="0FCB6F14" w14:textId="0433B333" w:rsidR="006F4184" w:rsidRPr="006F4184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F4184">
        <w:rPr>
          <w:rFonts w:ascii="Arial" w:eastAsia="Calibri" w:hAnsi="Arial" w:cs="Arial"/>
          <w:sz w:val="22"/>
          <w:szCs w:val="22"/>
          <w:lang w:val="hr-HR"/>
        </w:rPr>
        <w:t xml:space="preserve">Preneseni višak proračuna u visini od </w:t>
      </w:r>
      <w:r>
        <w:rPr>
          <w:rFonts w:ascii="Arial" w:eastAsia="Calibri" w:hAnsi="Arial" w:cs="Arial"/>
          <w:sz w:val="22"/>
          <w:szCs w:val="22"/>
          <w:lang w:val="hr-HR"/>
        </w:rPr>
        <w:t>10.</w:t>
      </w:r>
      <w:r w:rsidR="00CB5829">
        <w:rPr>
          <w:rFonts w:ascii="Arial" w:eastAsia="Calibri" w:hAnsi="Arial" w:cs="Arial"/>
          <w:sz w:val="22"/>
          <w:szCs w:val="22"/>
          <w:lang w:val="hr-HR"/>
        </w:rPr>
        <w:t>297.123,37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kn (1.</w:t>
      </w:r>
      <w:r w:rsidR="00CB5829">
        <w:rPr>
          <w:rFonts w:ascii="Arial" w:eastAsia="Calibri" w:hAnsi="Arial" w:cs="Arial"/>
          <w:sz w:val="22"/>
          <w:szCs w:val="22"/>
          <w:lang w:val="hr-HR"/>
        </w:rPr>
        <w:t>366.663,13</w:t>
      </w:r>
      <w:r w:rsidRPr="006F4184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6F4184">
        <w:rPr>
          <w:rFonts w:ascii="Arial" w:eastAsia="Calibri" w:hAnsi="Arial" w:cs="Arial"/>
          <w:sz w:val="22"/>
          <w:szCs w:val="22"/>
          <w:lang w:val="hr-HR"/>
        </w:rPr>
        <w:t>E</w:t>
      </w:r>
      <w:r>
        <w:rPr>
          <w:rFonts w:ascii="Arial" w:eastAsia="Calibri" w:hAnsi="Arial" w:cs="Arial"/>
          <w:sz w:val="22"/>
          <w:szCs w:val="22"/>
          <w:lang w:val="hr-HR"/>
        </w:rPr>
        <w:t>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>)</w:t>
      </w:r>
      <w:r w:rsidRPr="006F4184">
        <w:rPr>
          <w:rFonts w:ascii="Arial" w:eastAsia="Calibri" w:hAnsi="Arial" w:cs="Arial"/>
          <w:sz w:val="22"/>
          <w:szCs w:val="22"/>
          <w:lang w:val="hr-HR"/>
        </w:rPr>
        <w:t xml:space="preserve"> odnosi se na neutrošena sredstva </w:t>
      </w:r>
      <w:r w:rsidR="009B5E5F">
        <w:rPr>
          <w:rFonts w:ascii="Arial" w:eastAsia="Calibri" w:hAnsi="Arial" w:cs="Arial"/>
          <w:sz w:val="22"/>
          <w:szCs w:val="22"/>
          <w:lang w:val="hr-HR"/>
        </w:rPr>
        <w:t>prihoda i primitaka u 2022. godini</w:t>
      </w:r>
      <w:r w:rsidRPr="006F4184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C9C6251" w14:textId="0A71061F" w:rsidR="004C05C7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F4184">
        <w:rPr>
          <w:rFonts w:ascii="Arial" w:eastAsia="Calibri" w:hAnsi="Arial" w:cs="Arial"/>
          <w:sz w:val="22"/>
          <w:szCs w:val="22"/>
          <w:lang w:val="hr-HR"/>
        </w:rPr>
        <w:t> </w:t>
      </w:r>
    </w:p>
    <w:p w14:paraId="71715898" w14:textId="31D4AEE5" w:rsidR="006F4F2D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14:paraId="020737E7" w14:textId="69DD7F81" w:rsidR="009B5E5F" w:rsidRPr="004C05C7" w:rsidRDefault="009B5E5F" w:rsidP="009B5E5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OBRAZLOŽENJE </w:t>
      </w:r>
      <w:r>
        <w:rPr>
          <w:rFonts w:ascii="Arial" w:eastAsia="Calibri" w:hAnsi="Arial" w:cs="Arial"/>
          <w:b/>
          <w:sz w:val="22"/>
          <w:szCs w:val="22"/>
          <w:lang w:val="hr-HR"/>
        </w:rPr>
        <w:t>POSEBNOG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 DIJELA PRORAČUNA</w:t>
      </w:r>
    </w:p>
    <w:p w14:paraId="0AD9095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Prema organizacijskoj klasifikaciji Proračun Općine Podstrana podijeljen je u sedam razdjela: </w:t>
      </w:r>
    </w:p>
    <w:p w14:paraId="43484332" w14:textId="77777777" w:rsidR="004C05C7" w:rsidRPr="004C05C7" w:rsidRDefault="004C05C7" w:rsidP="003753C4">
      <w:pPr>
        <w:numPr>
          <w:ilvl w:val="0"/>
          <w:numId w:val="12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Ured načelnika</w:t>
      </w:r>
    </w:p>
    <w:p w14:paraId="4646A0EB" w14:textId="77777777" w:rsidR="004C05C7" w:rsidRPr="004C05C7" w:rsidRDefault="004C05C7" w:rsidP="003753C4">
      <w:pPr>
        <w:numPr>
          <w:ilvl w:val="0"/>
          <w:numId w:val="12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Općinsko vijeće</w:t>
      </w:r>
    </w:p>
    <w:p w14:paraId="1E98235A" w14:textId="77777777" w:rsidR="004C05C7" w:rsidRPr="004C05C7" w:rsidRDefault="004C05C7" w:rsidP="003753C4">
      <w:pPr>
        <w:numPr>
          <w:ilvl w:val="0"/>
          <w:numId w:val="12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pravne poslove i strateško upravljanje</w:t>
      </w:r>
    </w:p>
    <w:p w14:paraId="4D90EE37" w14:textId="77777777" w:rsidR="004C05C7" w:rsidRPr="004C05C7" w:rsidRDefault="004C05C7" w:rsidP="003753C4">
      <w:pPr>
        <w:numPr>
          <w:ilvl w:val="0"/>
          <w:numId w:val="12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proračun i financije</w:t>
      </w:r>
    </w:p>
    <w:p w14:paraId="4C0F8880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4.1.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  <w:t>Proračunski korisnik: Javna vatrogasna postrojba Općine Podstrana</w:t>
      </w:r>
    </w:p>
    <w:p w14:paraId="0AF46C26" w14:textId="77777777" w:rsidR="004C05C7" w:rsidRPr="004C05C7" w:rsidRDefault="004C05C7" w:rsidP="003753C4">
      <w:pPr>
        <w:numPr>
          <w:ilvl w:val="0"/>
          <w:numId w:val="12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javnu nabavu, gospodarstvo, društvene djelatnosti i EU fondove</w:t>
      </w:r>
    </w:p>
    <w:p w14:paraId="5DE59285" w14:textId="77777777" w:rsidR="004C05C7" w:rsidRPr="004C05C7" w:rsidRDefault="004C05C7" w:rsidP="003753C4">
      <w:pPr>
        <w:numPr>
          <w:ilvl w:val="0"/>
          <w:numId w:val="12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prostorno uređenje, komunalne poslove i zaštitu okoliša</w:t>
      </w:r>
    </w:p>
    <w:p w14:paraId="4B32D24E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6.1.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  <w:t>Odsjek za komunalno redarstvo</w:t>
      </w:r>
    </w:p>
    <w:p w14:paraId="77BAD9F1" w14:textId="77777777" w:rsidR="004C05C7" w:rsidRPr="004C05C7" w:rsidRDefault="004C05C7" w:rsidP="003753C4">
      <w:pPr>
        <w:numPr>
          <w:ilvl w:val="0"/>
          <w:numId w:val="12"/>
        </w:num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Komunalni pogon</w:t>
      </w:r>
    </w:p>
    <w:p w14:paraId="5647EA0F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B36DD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Razdjel je organizacijska razina utvrđena za potrebe planiranja i izvršavanja proračuna, a sastoji se od jedne ili više glava. Glavu čine programi koji se sastoje od programa usmjerenih ispunjenju prioritetnih ciljeva. Program se sastoji od jedne ili više aktivnosti i /ili projekata, a aktivnost i projekt pripadaju samo jednom programu. </w:t>
      </w:r>
    </w:p>
    <w:p w14:paraId="1DA487F7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Aktivnost je dio programa za koji nije unaprijed utvrđeno vrijeme trajanja, a u kojem su planirani rashodi i izdaci za ostvarivanje ciljeva utvrđenih programom. </w:t>
      </w:r>
    </w:p>
    <w:p w14:paraId="4C00D3BD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Projekt je dio programa za koji je unaprijed utvrđeno vrijeme trajanja, a u kojem su planirani rashodi i izdaci za ostvarivanje ciljeva utvrđenih programom. Projekt se planira jednokratno, a može biti tekući ili kapitalni. </w:t>
      </w:r>
    </w:p>
    <w:p w14:paraId="56C7DEAA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Pregled rashoda po razdjelima sa pripadajućim projektima/aktivnostima i sredstvima koje se predlažu za njihovu provedbu slijedi u nastavku:</w:t>
      </w:r>
    </w:p>
    <w:p w14:paraId="4CB5F3E7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5ABE14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RAZDJEL 001: URED NAČELNIKA</w:t>
      </w:r>
    </w:p>
    <w:p w14:paraId="633B0B4F" w14:textId="6CDB8CBA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Načelnik zastupa Općinu Podstrana i nositelj je izvršne vlasti Općine. Obavlja poslove propisane Zakonom o područjima lokalne i p</w:t>
      </w:r>
      <w:r w:rsidR="00166468">
        <w:rPr>
          <w:rFonts w:ascii="Arial" w:eastAsia="Calibri" w:hAnsi="Arial" w:cs="Arial"/>
          <w:sz w:val="22"/>
          <w:szCs w:val="22"/>
          <w:lang w:val="hr-HR"/>
        </w:rPr>
        <w:t>odručne samouprave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te Statutom Općine Podstrana.</w:t>
      </w:r>
    </w:p>
    <w:p w14:paraId="67CA3F68" w14:textId="1A714932" w:rsidR="00A07DBD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07DBD">
        <w:rPr>
          <w:rFonts w:ascii="Arial" w:eastAsia="Calibri" w:hAnsi="Arial" w:cs="Arial"/>
          <w:sz w:val="22"/>
          <w:szCs w:val="22"/>
          <w:lang w:val="hr-HR"/>
        </w:rPr>
        <w:t>Opći cilj ovog programa je kvalitetno izvršavanje zadaća kojima će se osigurati nesmetano djelovanje funkcija koje  u</w:t>
      </w:r>
      <w:r w:rsidR="00FA14D8">
        <w:rPr>
          <w:rFonts w:ascii="Arial" w:eastAsia="Calibri" w:hAnsi="Arial" w:cs="Arial"/>
          <w:sz w:val="22"/>
          <w:szCs w:val="22"/>
          <w:lang w:val="hr-HR"/>
        </w:rPr>
        <w:t xml:space="preserve"> okviru političkog sustava ima izvršna vlast</w:t>
      </w:r>
      <w:r w:rsidRPr="00A07DBD">
        <w:rPr>
          <w:rFonts w:ascii="Arial" w:eastAsia="Calibri" w:hAnsi="Arial" w:cs="Arial"/>
          <w:sz w:val="22"/>
          <w:szCs w:val="22"/>
          <w:lang w:val="hr-HR"/>
        </w:rPr>
        <w:t xml:space="preserve">, a to je ostvarivanje uvjeta </w:t>
      </w:r>
      <w:r w:rsidRPr="00A07DBD">
        <w:rPr>
          <w:rFonts w:ascii="Arial" w:eastAsia="Calibri" w:hAnsi="Arial" w:cs="Arial"/>
          <w:sz w:val="22"/>
          <w:szCs w:val="22"/>
          <w:lang w:val="hr-HR"/>
        </w:rPr>
        <w:lastRenderedPageBreak/>
        <w:t>za viši nivo javnih usluga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općine</w:t>
      </w:r>
      <w:r w:rsidRPr="00A07DBD">
        <w:rPr>
          <w:rFonts w:ascii="Arial" w:eastAsia="Calibri" w:hAnsi="Arial" w:cs="Arial"/>
          <w:sz w:val="22"/>
          <w:szCs w:val="22"/>
          <w:lang w:val="hr-HR"/>
        </w:rPr>
        <w:t xml:space="preserve"> u određenoj djelatnosti propisanoj zakonom i statutom. Godišnji izvedbeni cilj programa je racionalno gospodarenje s planiranim sredstvima uz pretpostavku da se nivo protokolarnih događaja zadrži na sadašnjoj razini.</w:t>
      </w:r>
    </w:p>
    <w:p w14:paraId="6A48F8B5" w14:textId="59235157" w:rsidR="00916A06" w:rsidRPr="004C05C7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16A06">
        <w:rPr>
          <w:rFonts w:ascii="Arial" w:eastAsia="Calibri" w:hAnsi="Arial" w:cs="Arial"/>
          <w:sz w:val="22"/>
          <w:szCs w:val="22"/>
          <w:lang w:val="hr-HR"/>
        </w:rPr>
        <w:t>Pokazatelji uspješnosti: provedene protokolarne aktivnosti, transparentno funkciniranje općinske uprave i informiranje javnosti.</w:t>
      </w:r>
    </w:p>
    <w:p w14:paraId="6B2DD440" w14:textId="77777777" w:rsidR="004C05C7" w:rsidRPr="0022454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22454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5834936F" w14:textId="41A22387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E348E4">
        <w:rPr>
          <w:rFonts w:ascii="Arial" w:eastAsia="Calibri" w:hAnsi="Arial" w:cs="Arial"/>
          <w:sz w:val="22"/>
          <w:szCs w:val="22"/>
          <w:lang w:val="hr-HR"/>
        </w:rPr>
        <w:t>623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.000,00 kn</w:t>
      </w:r>
      <w:r w:rsidR="00FA14D8">
        <w:rPr>
          <w:rFonts w:ascii="Arial" w:eastAsia="Calibri" w:hAnsi="Arial" w:cs="Arial"/>
          <w:sz w:val="22"/>
          <w:szCs w:val="22"/>
          <w:lang w:val="hr-HR"/>
        </w:rPr>
        <w:t xml:space="preserve"> (82.686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a obuhvaćaju rashode za redovne djelatnosti i protokolarne poslove načelnika</w:t>
      </w:r>
      <w:r w:rsidR="007A1EC7">
        <w:rPr>
          <w:rFonts w:ascii="Arial" w:eastAsia="Calibri" w:hAnsi="Arial" w:cs="Arial"/>
          <w:sz w:val="22"/>
          <w:szCs w:val="22"/>
          <w:lang w:val="hr-HR"/>
        </w:rPr>
        <w:t xml:space="preserve"> te sponzorstva i donacije.</w:t>
      </w:r>
    </w:p>
    <w:p w14:paraId="79A90086" w14:textId="77777777" w:rsidR="00A07DBD" w:rsidRPr="004C05C7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408F0A6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002: OPĆINSKO VIJEĆE</w:t>
      </w:r>
    </w:p>
    <w:p w14:paraId="1604FCA7" w14:textId="26EA76EB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Općinsko vijeće predstavničko je tijelo mještana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izvršenju proračuna i nadzire ukupno materijalno i financijsko poslovanje Općine i odlučuje o drugim pitanjima utvrđenim zakonima i Statutom Općine. Rashodi ovog razdjela provode se kroz progra</w:t>
      </w:r>
      <w:r w:rsidR="0060574C">
        <w:rPr>
          <w:rFonts w:ascii="Arial" w:eastAsia="Calibri" w:hAnsi="Arial" w:cs="Arial"/>
          <w:sz w:val="22"/>
          <w:szCs w:val="22"/>
          <w:lang w:val="hr-HR"/>
        </w:rPr>
        <w:t>m</w:t>
      </w:r>
      <w:r w:rsidR="00C450F3">
        <w:rPr>
          <w:rFonts w:ascii="Arial" w:eastAsia="Calibri" w:hAnsi="Arial" w:cs="Arial"/>
          <w:sz w:val="22"/>
          <w:szCs w:val="22"/>
          <w:lang w:val="hr-HR"/>
        </w:rPr>
        <w:t xml:space="preserve"> Javna uprava i administracija.  </w:t>
      </w:r>
    </w:p>
    <w:p w14:paraId="585D5F52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111E9FAA" w14:textId="33FD3407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Planirana sredstva za provođenje ovog programa iznose 480.000,00 kn</w:t>
      </w:r>
      <w:r w:rsidR="00FA14D8">
        <w:rPr>
          <w:rFonts w:ascii="Arial" w:eastAsia="Calibri" w:hAnsi="Arial" w:cs="Arial"/>
          <w:sz w:val="22"/>
          <w:szCs w:val="22"/>
          <w:lang w:val="hr-HR"/>
        </w:rPr>
        <w:t xml:space="preserve"> (63.707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a obuhvaćaju rashode za redovan rad predstavničkog tijela, naknade, protokol, promidžbu i proslave općinskih manifestacija. Programom se osiguravaju sredstva za redovan rad Općinskog vijeća, te 6 mjesnih odbora.</w:t>
      </w:r>
      <w:r w:rsidR="00A07DBD" w:rsidRPr="00A07DBD">
        <w:rPr>
          <w:lang w:val="hr-HR"/>
        </w:rPr>
        <w:t xml:space="preserve"> </w:t>
      </w:r>
    </w:p>
    <w:p w14:paraId="7233C8E5" w14:textId="0BA13126" w:rsidR="006E24D5" w:rsidRPr="006E24D5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E24D5">
        <w:rPr>
          <w:rFonts w:ascii="Arial" w:eastAsia="Calibri" w:hAnsi="Arial" w:cs="Arial"/>
          <w:sz w:val="22"/>
          <w:szCs w:val="22"/>
          <w:lang w:val="hr-HR"/>
        </w:rPr>
        <w:t>Programom se kroz redovne aktivnosti osigurav</w:t>
      </w:r>
      <w:r>
        <w:rPr>
          <w:rFonts w:ascii="Arial" w:eastAsia="Calibri" w:hAnsi="Arial" w:cs="Arial"/>
          <w:sz w:val="22"/>
          <w:szCs w:val="22"/>
          <w:lang w:val="hr-HR"/>
        </w:rPr>
        <w:t>aju sredstva za funkcioniranje Općinskog vijeća</w:t>
      </w:r>
      <w:r w:rsidRPr="006E24D5">
        <w:rPr>
          <w:rFonts w:ascii="Arial" w:eastAsia="Calibri" w:hAnsi="Arial" w:cs="Arial"/>
          <w:sz w:val="22"/>
          <w:szCs w:val="22"/>
          <w:lang w:val="hr-HR"/>
        </w:rPr>
        <w:t xml:space="preserve"> i radnih tijela (naknade za rad predstavničkih i izvršnih tijela, reprezentacija, protokol, intelektualne i osobne usluge, izbori, nagrada </w:t>
      </w:r>
      <w:r>
        <w:rPr>
          <w:rFonts w:ascii="Arial" w:eastAsia="Calibri" w:hAnsi="Arial" w:cs="Arial"/>
          <w:sz w:val="22"/>
          <w:szCs w:val="22"/>
          <w:lang w:val="hr-HR"/>
        </w:rPr>
        <w:t>Općine</w:t>
      </w:r>
      <w:r w:rsidRPr="006E24D5">
        <w:rPr>
          <w:rFonts w:ascii="Arial" w:eastAsia="Calibri" w:hAnsi="Arial" w:cs="Arial"/>
          <w:sz w:val="22"/>
          <w:szCs w:val="22"/>
          <w:lang w:val="hr-HR"/>
        </w:rPr>
        <w:t xml:space="preserve">, sufinanciranje i pokroviteljstva </w:t>
      </w:r>
      <w:r>
        <w:rPr>
          <w:rFonts w:ascii="Arial" w:eastAsia="Calibri" w:hAnsi="Arial" w:cs="Arial"/>
          <w:sz w:val="22"/>
          <w:szCs w:val="22"/>
          <w:lang w:val="hr-HR"/>
        </w:rPr>
        <w:t>nad raznim manifestacijama</w:t>
      </w:r>
      <w:r w:rsidRPr="006E24D5">
        <w:rPr>
          <w:rFonts w:ascii="Arial" w:eastAsia="Calibri" w:hAnsi="Arial" w:cs="Arial"/>
          <w:sz w:val="22"/>
          <w:szCs w:val="22"/>
          <w:lang w:val="hr-HR"/>
        </w:rPr>
        <w:t>) i financiranje političkih stranaka.</w:t>
      </w:r>
    </w:p>
    <w:p w14:paraId="47AEEE61" w14:textId="77777777" w:rsidR="006E24D5" w:rsidRPr="006E24D5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3C1BCAC" w14:textId="1CFBDC60" w:rsidR="006E24D5" w:rsidRPr="004C05C7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E24D5">
        <w:rPr>
          <w:rFonts w:ascii="Arial" w:eastAsia="Calibri" w:hAnsi="Arial" w:cs="Arial"/>
          <w:sz w:val="22"/>
          <w:szCs w:val="22"/>
          <w:lang w:val="hr-HR"/>
        </w:rPr>
        <w:t>Pokazatelji uspješnosti: provedene protokolarne aktivnosti, transparentno funkciniranje gradske uprave i informiranje javnosti.</w:t>
      </w:r>
    </w:p>
    <w:p w14:paraId="5EDFEC30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Pregled aktivnosti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33"/>
        <w:gridCol w:w="1293"/>
      </w:tblGrid>
      <w:tr w:rsidR="004C05C7" w:rsidRPr="004C05C7" w14:paraId="4396E1D3" w14:textId="77777777" w:rsidTr="005B4727">
        <w:trPr>
          <w:trHeight w:val="300"/>
        </w:trPr>
        <w:tc>
          <w:tcPr>
            <w:tcW w:w="4327" w:type="pct"/>
            <w:shd w:val="clear" w:color="auto" w:fill="auto"/>
            <w:noWrap/>
            <w:vAlign w:val="center"/>
            <w:hideMark/>
          </w:tcPr>
          <w:p w14:paraId="4F74C674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rada Općinskog vijeća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14:paraId="4DEE21E3" w14:textId="29895CFE" w:rsidR="004C05C7" w:rsidRPr="004C05C7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27.208 Eur</w:t>
            </w:r>
          </w:p>
        </w:tc>
      </w:tr>
      <w:tr w:rsidR="004C05C7" w:rsidRPr="004C05C7" w14:paraId="0BADB5C5" w14:textId="77777777" w:rsidTr="005B4727">
        <w:trPr>
          <w:trHeight w:val="300"/>
        </w:trPr>
        <w:tc>
          <w:tcPr>
            <w:tcW w:w="4327" w:type="pct"/>
            <w:shd w:val="clear" w:color="auto" w:fill="auto"/>
            <w:noWrap/>
            <w:vAlign w:val="center"/>
            <w:hideMark/>
          </w:tcPr>
          <w:p w14:paraId="0E6225C3" w14:textId="71D53C7F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političkih stranaka zastupljenih u Općinskom vijeću</w:t>
            </w:r>
            <w:r w:rsidR="00C450F3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664F4F9A" w14:textId="108E2AFC" w:rsidR="004C05C7" w:rsidRPr="004C05C7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9.291 Eur</w:t>
            </w:r>
          </w:p>
        </w:tc>
      </w:tr>
      <w:tr w:rsidR="004C05C7" w:rsidRPr="004C05C7" w14:paraId="4351204D" w14:textId="77777777" w:rsidTr="005B4727">
        <w:trPr>
          <w:trHeight w:val="300"/>
        </w:trPr>
        <w:tc>
          <w:tcPr>
            <w:tcW w:w="4327" w:type="pct"/>
            <w:shd w:val="clear" w:color="auto" w:fill="auto"/>
            <w:noWrap/>
            <w:vAlign w:val="center"/>
            <w:hideMark/>
          </w:tcPr>
          <w:p w14:paraId="2222EC7B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Gradovi prijatelji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30D70114" w14:textId="31824D0B" w:rsidR="004C05C7" w:rsidRPr="004C05C7" w:rsidRDefault="00C450F3" w:rsidP="0022454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24541">
              <w:rPr>
                <w:rFonts w:ascii="Arial" w:eastAsia="Calibri" w:hAnsi="Arial" w:cs="Arial"/>
                <w:sz w:val="22"/>
                <w:szCs w:val="22"/>
                <w:lang w:val="hr-HR"/>
              </w:rPr>
              <w:t>4.645 Eur</w:t>
            </w:r>
          </w:p>
        </w:tc>
      </w:tr>
      <w:tr w:rsidR="004C05C7" w:rsidRPr="004C05C7" w14:paraId="358A3720" w14:textId="77777777" w:rsidTr="005B4727">
        <w:trPr>
          <w:trHeight w:val="300"/>
        </w:trPr>
        <w:tc>
          <w:tcPr>
            <w:tcW w:w="4327" w:type="pct"/>
            <w:shd w:val="clear" w:color="auto" w:fill="auto"/>
            <w:noWrap/>
            <w:vAlign w:val="center"/>
            <w:hideMark/>
          </w:tcPr>
          <w:p w14:paraId="1A51011E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Mjesni odborI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30A498E4" w14:textId="69B8D7FD" w:rsidR="004C05C7" w:rsidRPr="004C05C7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22.563 Eur</w:t>
            </w:r>
          </w:p>
        </w:tc>
      </w:tr>
    </w:tbl>
    <w:p w14:paraId="1271875E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62D23A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003: UPRAVNI ODJEL ZA PRAVNE POSLOVE I STRATEŠKO UPRAVLJANJE</w:t>
      </w:r>
    </w:p>
    <w:p w14:paraId="7CFA61FF" w14:textId="211B8080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Službenici ovog Upravnog odjela obavljaju pravne, upravno-pravne i savjetodavne poslove, te upravne i stručne poslove, poslove vezane uz općinsku imovinu.</w:t>
      </w:r>
    </w:p>
    <w:p w14:paraId="371D7CE0" w14:textId="697493E8" w:rsidR="006E24D5" w:rsidRPr="004C05C7" w:rsidRDefault="006E24D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E24D5">
        <w:rPr>
          <w:rFonts w:ascii="Arial" w:eastAsia="Calibri" w:hAnsi="Arial" w:cs="Arial"/>
          <w:sz w:val="22"/>
          <w:szCs w:val="22"/>
          <w:lang w:val="hr-HR"/>
        </w:rPr>
        <w:lastRenderedPageBreak/>
        <w:t>U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okviru ove glave ostvaruje se program</w:t>
      </w:r>
      <w:r w:rsidRPr="006E24D5">
        <w:rPr>
          <w:rFonts w:ascii="Arial" w:eastAsia="Calibri" w:hAnsi="Arial" w:cs="Arial"/>
          <w:sz w:val="22"/>
          <w:szCs w:val="22"/>
          <w:lang w:val="hr-HR"/>
        </w:rPr>
        <w:t xml:space="preserve"> javna uprav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a i administracija </w:t>
      </w:r>
      <w:r w:rsidRPr="006E24D5">
        <w:rPr>
          <w:rFonts w:ascii="Arial" w:eastAsia="Calibri" w:hAnsi="Arial" w:cs="Arial"/>
          <w:sz w:val="22"/>
          <w:szCs w:val="22"/>
          <w:lang w:val="hr-HR"/>
        </w:rPr>
        <w:t>u dijelu koji se odnosi na troškove sudskih postupaka i odvjetničke usluge, organiziranje lokalnih izb</w:t>
      </w:r>
      <w:r>
        <w:rPr>
          <w:rFonts w:ascii="Arial" w:eastAsia="Calibri" w:hAnsi="Arial" w:cs="Arial"/>
          <w:sz w:val="22"/>
          <w:szCs w:val="22"/>
          <w:lang w:val="hr-HR"/>
        </w:rPr>
        <w:t>ora</w:t>
      </w:r>
      <w:r w:rsidRPr="006E24D5">
        <w:rPr>
          <w:rFonts w:ascii="Arial" w:eastAsia="Calibri" w:hAnsi="Arial" w:cs="Arial"/>
          <w:sz w:val="22"/>
          <w:szCs w:val="22"/>
          <w:lang w:val="hr-HR"/>
        </w:rPr>
        <w:t xml:space="preserve"> i red</w:t>
      </w:r>
      <w:r>
        <w:rPr>
          <w:rFonts w:ascii="Arial" w:eastAsia="Calibri" w:hAnsi="Arial" w:cs="Arial"/>
          <w:sz w:val="22"/>
          <w:szCs w:val="22"/>
          <w:lang w:val="hr-HR"/>
        </w:rPr>
        <w:t>ovna djelatnost upravnih tijela te nabava dugotrajne imovine (</w:t>
      </w:r>
      <w:r w:rsidR="00224541">
        <w:rPr>
          <w:rFonts w:ascii="Arial" w:eastAsia="Calibri" w:hAnsi="Arial" w:cs="Arial"/>
          <w:sz w:val="22"/>
          <w:szCs w:val="22"/>
          <w:lang w:val="hr-HR"/>
        </w:rPr>
        <w:t>naknade za izvlaštena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zemljišta), obnova zemljišne knjige Gornja Podstrana i izrada katastra Gornja Podstrana.</w:t>
      </w:r>
    </w:p>
    <w:p w14:paraId="2C8E5C50" w14:textId="6671D2F9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Ukupni rashodi kojima upravlja ovaj razdjel iznose 4.9</w:t>
      </w:r>
      <w:r w:rsidR="007A1EC7">
        <w:rPr>
          <w:rFonts w:ascii="Arial" w:eastAsia="Calibri" w:hAnsi="Arial" w:cs="Arial"/>
          <w:sz w:val="22"/>
          <w:szCs w:val="22"/>
          <w:lang w:val="hr-HR"/>
        </w:rPr>
        <w:t>7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6.000,00 kn</w:t>
      </w:r>
      <w:r w:rsidR="00224541">
        <w:rPr>
          <w:rFonts w:ascii="Arial" w:eastAsia="Calibri" w:hAnsi="Arial" w:cs="Arial"/>
          <w:sz w:val="22"/>
          <w:szCs w:val="22"/>
          <w:lang w:val="hr-HR"/>
        </w:rPr>
        <w:t xml:space="preserve"> (660.429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C783975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70568105" w14:textId="0BC471E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Planirana sredstva</w:t>
      </w:r>
      <w:r w:rsidR="00C450F3">
        <w:rPr>
          <w:rFonts w:ascii="Arial" w:eastAsia="Calibri" w:hAnsi="Arial" w:cs="Arial"/>
          <w:sz w:val="22"/>
          <w:szCs w:val="22"/>
          <w:lang w:val="hr-HR"/>
        </w:rPr>
        <w:t>- rashodi ovog programa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odnose se na financiranje redovne djelatnosti službenika, provođenje općih i pravnih poslova, rashoda prema posebnim propisima, subvencija prijevoza poduzeću Promet d.o.o., troškova za službenike Općinskog suda, ZK odjela,  koji rade na obnovi zemljišnih knjiga, te izra</w:t>
      </w:r>
      <w:r w:rsidR="00C450F3">
        <w:rPr>
          <w:rFonts w:ascii="Arial" w:eastAsia="Calibri" w:hAnsi="Arial" w:cs="Arial"/>
          <w:sz w:val="22"/>
          <w:szCs w:val="22"/>
          <w:lang w:val="hr-HR"/>
        </w:rPr>
        <w:t>de katastra za Gornju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Podstranu.</w:t>
      </w:r>
    </w:p>
    <w:p w14:paraId="41A08890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Ovaj razdjel također obuhvaća i troškove nabavke dugotrajne imovine potrebne za obavljanje poslova općinske uprave te naknade za izvlaštena zemljišta.</w:t>
      </w:r>
    </w:p>
    <w:p w14:paraId="46A3DDF2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7865A65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12" w:name="_Hlk25245620"/>
      <w:r w:rsidRPr="004C05C7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11"/>
        <w:gridCol w:w="1415"/>
      </w:tblGrid>
      <w:tr w:rsidR="004C05C7" w:rsidRPr="004C05C7" w14:paraId="68F753E9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12"/>
          <w:p w14:paraId="18468120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7773" w14:textId="594F06CD" w:rsidR="004C05C7" w:rsidRPr="004C05C7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327.958 Eur</w:t>
            </w:r>
          </w:p>
        </w:tc>
      </w:tr>
      <w:tr w:rsidR="004C05C7" w:rsidRPr="004C05C7" w14:paraId="055507B0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0961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Nabava dugotrajne imovine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B21F" w14:textId="3F524822" w:rsidR="004C05C7" w:rsidRPr="004C05C7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291.327 Eur</w:t>
            </w:r>
          </w:p>
        </w:tc>
      </w:tr>
      <w:tr w:rsidR="004C05C7" w:rsidRPr="004C05C7" w14:paraId="526D9EAC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95CC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Obnova zemljišne knjige Gornja Podstrana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890D" w14:textId="5E521951" w:rsidR="004C05C7" w:rsidRPr="004C05C7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27.208 Eur</w:t>
            </w:r>
          </w:p>
        </w:tc>
      </w:tr>
      <w:tr w:rsidR="004C05C7" w:rsidRPr="004C05C7" w14:paraId="63713AAD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1C80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Izrada katastra Gornja Podstrana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498B" w14:textId="2056D5B0" w:rsidR="004C05C7" w:rsidRPr="004C05C7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13.936 Eur</w:t>
            </w:r>
          </w:p>
        </w:tc>
      </w:tr>
    </w:tbl>
    <w:p w14:paraId="09E4EF3E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EBAE2AF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004: UPRAVNI ODJEL ZA PRORAČUN I FINANCIJE</w:t>
      </w:r>
    </w:p>
    <w:p w14:paraId="52972026" w14:textId="3AF46A4C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Službenici ovog Upravnog odjela obavljaju poslove iz područja proračuna i financija i računovodstva, kao i poslova oko računovodstva proračunskih korisnika Općine Podstrana.</w:t>
      </w:r>
    </w:p>
    <w:p w14:paraId="4D9EAA78" w14:textId="330A36E8" w:rsidR="00916A06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Ovaj odjel </w:t>
      </w:r>
      <w:r w:rsidRPr="00916A06">
        <w:rPr>
          <w:rFonts w:ascii="Arial" w:eastAsia="Calibri" w:hAnsi="Arial" w:cs="Arial"/>
          <w:sz w:val="22"/>
          <w:szCs w:val="22"/>
          <w:lang w:val="hr-HR"/>
        </w:rPr>
        <w:t>obavlja poslove izrade proračuna i pratećih financijsko-planskih dokumenata, izvršavanje proračunskih rashoda, izrada povremenih izvješća, izvještaj o izvršenju proračuna i druge analitičko-normativne i financijsko-planske poslove, poslove knjigovodstva, likvidature, blagajne, obračuna plaća i drugih računovodstvenih poslova, poslova planiranja nabave robe, radova i usluga</w:t>
      </w:r>
      <w:r w:rsidR="005145AA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6C81571" w14:textId="77777777" w:rsidR="005145AA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2682C">
        <w:rPr>
          <w:rFonts w:ascii="Arial" w:eastAsia="Calibri" w:hAnsi="Arial" w:cs="Arial"/>
          <w:sz w:val="22"/>
          <w:szCs w:val="22"/>
          <w:lang w:val="hr-HR"/>
        </w:rPr>
        <w:t>Poslovi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ovog programa su </w:t>
      </w:r>
      <w:r w:rsidRPr="0022682C">
        <w:rPr>
          <w:rFonts w:ascii="Arial" w:eastAsia="Calibri" w:hAnsi="Arial" w:cs="Arial"/>
          <w:sz w:val="22"/>
          <w:szCs w:val="22"/>
          <w:lang w:val="hr-HR"/>
        </w:rPr>
        <w:t>naplate potraživanja, provedbe ovršnih i drugih postupaka radi namirenja tražbina, te upravnih sporova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  <w:r w:rsidRPr="0022682C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64EB59A1" w14:textId="77777777" w:rsidR="005145AA" w:rsidRPr="0022682C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2682C">
        <w:rPr>
          <w:rFonts w:ascii="Arial" w:eastAsia="Calibri" w:hAnsi="Arial" w:cs="Arial"/>
          <w:sz w:val="22"/>
          <w:szCs w:val="22"/>
          <w:lang w:val="hr-HR"/>
        </w:rPr>
        <w:t xml:space="preserve">Glavni cilj ovog programa je učinkovita naplata potraživanja. </w:t>
      </w:r>
    </w:p>
    <w:p w14:paraId="33DA5D91" w14:textId="77777777" w:rsidR="005145AA" w:rsidRPr="0022682C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2682C">
        <w:rPr>
          <w:rFonts w:ascii="Arial" w:eastAsia="Calibri" w:hAnsi="Arial" w:cs="Arial"/>
          <w:sz w:val="22"/>
          <w:szCs w:val="22"/>
          <w:lang w:val="hr-HR"/>
        </w:rPr>
        <w:t>Programom se kroz redovne aktivnosti osiguravaju sredstva za troškove ovrhe i drugih sudskih postupaka, pravna zastupanja;  za provedbu izbora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B44429D" w14:textId="77777777" w:rsidR="005145AA" w:rsidRPr="0022682C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2682C">
        <w:rPr>
          <w:rFonts w:ascii="Arial" w:eastAsia="Calibri" w:hAnsi="Arial" w:cs="Arial"/>
          <w:sz w:val="22"/>
          <w:szCs w:val="22"/>
          <w:lang w:val="hr-HR"/>
        </w:rPr>
        <w:t>Pokazatelji uspješnosti: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22682C">
        <w:rPr>
          <w:rFonts w:ascii="Arial" w:eastAsia="Calibri" w:hAnsi="Arial" w:cs="Arial"/>
          <w:sz w:val="22"/>
          <w:szCs w:val="22"/>
          <w:lang w:val="hr-HR"/>
        </w:rPr>
        <w:t>Postotak naplate potraživanja.</w:t>
      </w:r>
    </w:p>
    <w:p w14:paraId="64BC710D" w14:textId="77777777" w:rsidR="005145AA" w:rsidRPr="00916A06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16A06">
        <w:rPr>
          <w:rFonts w:ascii="Arial" w:eastAsia="Calibri" w:hAnsi="Arial" w:cs="Arial"/>
          <w:sz w:val="22"/>
          <w:szCs w:val="22"/>
          <w:lang w:val="hr-HR"/>
        </w:rPr>
        <w:t>Posebni cilj programa je gospodarstveno upravljanje s proračunskim sredstvima koje će se osigurati uspostavom sustava unutarnjih kontrola, a godišnji izvedbeni cilj je uspješno i učinkovito izvođenje postavljenih zadaća.</w:t>
      </w:r>
    </w:p>
    <w:p w14:paraId="29E93215" w14:textId="77777777" w:rsidR="005145AA" w:rsidRDefault="005145A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AB94413" w14:textId="499F2908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lastRenderedPageBreak/>
        <w:t>Ukupni rashodi kojima upravlja ovaj razdjel iznose 4.</w:t>
      </w:r>
      <w:r w:rsidR="007A1EC7">
        <w:rPr>
          <w:rFonts w:ascii="Arial" w:eastAsia="Calibri" w:hAnsi="Arial" w:cs="Arial"/>
          <w:sz w:val="22"/>
          <w:szCs w:val="22"/>
          <w:lang w:val="hr-HR"/>
        </w:rPr>
        <w:t>82</w:t>
      </w:r>
      <w:r w:rsidR="00A54DBC">
        <w:rPr>
          <w:rFonts w:ascii="Arial" w:eastAsia="Calibri" w:hAnsi="Arial" w:cs="Arial"/>
          <w:sz w:val="22"/>
          <w:szCs w:val="22"/>
          <w:lang w:val="hr-HR"/>
        </w:rPr>
        <w:t>8</w:t>
      </w:r>
      <w:r w:rsidR="007A1EC7">
        <w:rPr>
          <w:rFonts w:ascii="Arial" w:eastAsia="Calibri" w:hAnsi="Arial" w:cs="Arial"/>
          <w:sz w:val="22"/>
          <w:szCs w:val="22"/>
          <w:lang w:val="hr-HR"/>
        </w:rPr>
        <w:t>.</w:t>
      </w:r>
      <w:r w:rsidR="00C450F3">
        <w:rPr>
          <w:rFonts w:ascii="Arial" w:eastAsia="Calibri" w:hAnsi="Arial" w:cs="Arial"/>
          <w:sz w:val="22"/>
          <w:szCs w:val="22"/>
          <w:lang w:val="hr-HR"/>
        </w:rPr>
        <w:t>749,37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kn</w:t>
      </w:r>
      <w:r w:rsidR="008B2BE6">
        <w:rPr>
          <w:rFonts w:ascii="Arial" w:eastAsia="Calibri" w:hAnsi="Arial" w:cs="Arial"/>
          <w:sz w:val="22"/>
          <w:szCs w:val="22"/>
          <w:lang w:val="hr-HR"/>
        </w:rPr>
        <w:t xml:space="preserve"> (641.018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što uključuje i </w:t>
      </w:r>
      <w:r w:rsidR="00C450F3">
        <w:rPr>
          <w:rFonts w:ascii="Arial" w:eastAsia="Calibri" w:hAnsi="Arial" w:cs="Arial"/>
          <w:sz w:val="22"/>
          <w:szCs w:val="22"/>
          <w:lang w:val="hr-HR"/>
        </w:rPr>
        <w:t>rashode proračunskog korisnika JVP Podstrana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9F5FCC2" w14:textId="77777777" w:rsidR="002E6CFC" w:rsidRPr="004C05C7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0754075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2D367AC8" w14:textId="7A49CA8A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Ovaj razdjel preko aktivnosti Financiranje redovne djelatnosti upravnih odjela upravlja materijalnim i financijskih rashodima za uredno poslovanje ostalih upravnih odjela, a odnose se odnose na troškove uredskog materijala, sitnog inventara, te</w:t>
      </w:r>
      <w:r w:rsidR="00C450F3">
        <w:rPr>
          <w:rFonts w:ascii="Arial" w:eastAsia="Calibri" w:hAnsi="Arial" w:cs="Arial"/>
          <w:sz w:val="22"/>
          <w:szCs w:val="22"/>
          <w:lang w:val="hr-HR"/>
        </w:rPr>
        <w:t>lekom usluga, računalnih usluga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te pričuve.</w:t>
      </w:r>
    </w:p>
    <w:p w14:paraId="4F187134" w14:textId="26DCEE7B" w:rsidR="00916A06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16A06">
        <w:rPr>
          <w:rFonts w:ascii="Arial" w:eastAsia="Calibri" w:hAnsi="Arial" w:cs="Arial"/>
          <w:sz w:val="22"/>
          <w:szCs w:val="22"/>
          <w:lang w:val="hr-HR"/>
        </w:rPr>
        <w:t>Cilj programa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je o</w:t>
      </w:r>
      <w:r w:rsidRPr="00916A06">
        <w:rPr>
          <w:rFonts w:ascii="Arial" w:eastAsia="Calibri" w:hAnsi="Arial" w:cs="Arial"/>
          <w:sz w:val="22"/>
          <w:szCs w:val="22"/>
          <w:lang w:val="hr-HR"/>
        </w:rPr>
        <w:t xml:space="preserve">siguranje materijalnih, stručnih i prostornih uvjeta za rad upravnih tijela koje će se postići moderniziranjem i automatiziranjem rada lokalne uprave s poboljšanjem postojećih i uvođenjem novih informacijskih rješenja te stalnim stručnim usavršavanjem djelatnika. </w:t>
      </w:r>
    </w:p>
    <w:p w14:paraId="7BEC13DA" w14:textId="73E411A8" w:rsidR="00916A06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16A06">
        <w:rPr>
          <w:rFonts w:ascii="Arial" w:eastAsia="Calibri" w:hAnsi="Arial" w:cs="Arial"/>
          <w:sz w:val="22"/>
          <w:szCs w:val="22"/>
          <w:lang w:val="hr-HR"/>
        </w:rPr>
        <w:t xml:space="preserve">Ovim programom osigurana su sredstva za plaće zaposlenih u upravnim tijelima </w:t>
      </w:r>
      <w:r>
        <w:rPr>
          <w:rFonts w:ascii="Arial" w:eastAsia="Calibri" w:hAnsi="Arial" w:cs="Arial"/>
          <w:sz w:val="22"/>
          <w:szCs w:val="22"/>
          <w:lang w:val="hr-HR"/>
        </w:rPr>
        <w:t>Općine</w:t>
      </w:r>
      <w:r w:rsidRPr="00916A06">
        <w:rPr>
          <w:rFonts w:ascii="Arial" w:eastAsia="Calibri" w:hAnsi="Arial" w:cs="Arial"/>
          <w:sz w:val="22"/>
          <w:szCs w:val="22"/>
          <w:lang w:val="hr-HR"/>
        </w:rPr>
        <w:t>, materijalni troškovi, troškovi stručnog usavršavanja, raspolaganje i upravljanje s imovinom potrebnom za rad uprave – tekuće i investicijsko održavanje upravnih prostora, plaćanje zakupnine, nabava opreme, premije osiguranja poslovnih prostora, kupovina prijevoznih sredstava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  <w:r w:rsidRPr="00916A06">
        <w:rPr>
          <w:rFonts w:ascii="Arial" w:eastAsia="Calibri" w:hAnsi="Arial" w:cs="Arial"/>
          <w:sz w:val="22"/>
          <w:szCs w:val="22"/>
          <w:lang w:val="hr-HR"/>
        </w:rPr>
        <w:t xml:space="preserve">     </w:t>
      </w:r>
    </w:p>
    <w:p w14:paraId="0F865C1C" w14:textId="79B85A10" w:rsidR="00360ADF" w:rsidRPr="004C05C7" w:rsidRDefault="00360ADF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60ADF">
        <w:rPr>
          <w:rFonts w:ascii="Arial" w:eastAsia="Calibri" w:hAnsi="Arial" w:cs="Arial"/>
          <w:sz w:val="22"/>
          <w:szCs w:val="22"/>
          <w:lang w:val="hr-HR"/>
        </w:rPr>
        <w:t>Osiguran</w:t>
      </w:r>
      <w:r>
        <w:rPr>
          <w:rFonts w:ascii="Arial" w:eastAsia="Calibri" w:hAnsi="Arial" w:cs="Arial"/>
          <w:sz w:val="22"/>
          <w:szCs w:val="22"/>
          <w:lang w:val="hr-HR"/>
        </w:rPr>
        <w:t>a su</w:t>
      </w:r>
      <w:r w:rsidRPr="00360ADF">
        <w:rPr>
          <w:rFonts w:ascii="Arial" w:eastAsia="Calibri" w:hAnsi="Arial" w:cs="Arial"/>
          <w:sz w:val="22"/>
          <w:szCs w:val="22"/>
          <w:lang w:val="hr-HR"/>
        </w:rPr>
        <w:t xml:space="preserve"> sredstava za financiranje bankarskih usluga, te usluga Porezne uprave za poslove obračunavanja poreza na potrošnju i usluga FINE. </w:t>
      </w:r>
    </w:p>
    <w:p w14:paraId="1202A134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7432"/>
        <w:gridCol w:w="1497"/>
      </w:tblGrid>
      <w:tr w:rsidR="004C05C7" w:rsidRPr="004C05C7" w14:paraId="6F50F8FF" w14:textId="77777777" w:rsidTr="00F11B79">
        <w:trPr>
          <w:trHeight w:val="178"/>
        </w:trPr>
        <w:tc>
          <w:tcPr>
            <w:tcW w:w="4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869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13" w:name="_Hlk25245650"/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  <w:bookmarkEnd w:id="13"/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8BEE" w14:textId="5A58953B" w:rsidR="004C05C7" w:rsidRPr="004C05C7" w:rsidRDefault="004C05C7" w:rsidP="008B2BE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8B2BE6">
              <w:rPr>
                <w:rFonts w:ascii="Arial" w:eastAsia="Calibri" w:hAnsi="Arial" w:cs="Arial"/>
                <w:sz w:val="22"/>
                <w:szCs w:val="22"/>
                <w:lang w:val="hr-HR"/>
              </w:rPr>
              <w:t>74.325 Eur</w:t>
            </w:r>
          </w:p>
        </w:tc>
      </w:tr>
      <w:tr w:rsidR="004C05C7" w:rsidRPr="004C05C7" w14:paraId="1C54B008" w14:textId="77777777" w:rsidTr="00F11B79">
        <w:trPr>
          <w:trHeight w:val="178"/>
        </w:trPr>
        <w:tc>
          <w:tcPr>
            <w:tcW w:w="4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46E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Zajednički rashodi tekućeg poslovanja upravnih odjela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1D7A" w14:textId="5453B19D" w:rsidR="004C05C7" w:rsidRPr="004C05C7" w:rsidRDefault="008B2BE6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204.393 Eur</w:t>
            </w:r>
          </w:p>
        </w:tc>
      </w:tr>
    </w:tbl>
    <w:p w14:paraId="3D722F6D" w14:textId="77777777" w:rsidR="00F11B79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94958B3" w14:textId="77777777" w:rsidR="00F11B79" w:rsidRPr="00F11B79" w:rsidRDefault="00F11B79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  <w:r w:rsidRPr="00F11B79">
        <w:rPr>
          <w:rFonts w:ascii="Arial" w:eastAsia="Calibri" w:hAnsi="Arial" w:cs="Arial"/>
          <w:b/>
          <w:sz w:val="22"/>
          <w:szCs w:val="22"/>
          <w:lang w:val="hr-HR"/>
        </w:rPr>
        <w:t>GLAVA 00401: Javna vatrogasna postrojba Općine Podstrana</w:t>
      </w:r>
    </w:p>
    <w:p w14:paraId="65DDCA4C" w14:textId="77777777" w:rsidR="00F11B79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E6044DB" w14:textId="7EF92917" w:rsidR="00F11B79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F11B79">
        <w:rPr>
          <w:rFonts w:ascii="Arial" w:eastAsia="Calibri" w:hAnsi="Arial" w:cs="Arial"/>
          <w:sz w:val="22"/>
          <w:szCs w:val="22"/>
          <w:lang w:val="hr-HR"/>
        </w:rPr>
        <w:t>Ustanova obavlja vatrogasnu djelatnost. Vatrogasna djelatnost je sudjelovanje u provedbi preventivnih mjera zaštite od požara i eksplozija, gašenje požara i spašavanje ljudi i imovine ugroženih požarom i eksplozijom, pružanje tehničke pomoći u nezgodama i opasnim situacijama te obavljanje i drugih poslova u nesrećama, ekolo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škim i ostalim 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>nesrećama.</w:t>
      </w:r>
    </w:p>
    <w:p w14:paraId="37AA41C1" w14:textId="001E2398" w:rsidR="00F11B79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Cilj programa je r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>edovno financiranje prava zaposlenika iz radnog odnosa i materijalnih troškova</w:t>
      </w:r>
      <w:r>
        <w:rPr>
          <w:rFonts w:ascii="Arial" w:eastAsia="Calibri" w:hAnsi="Arial" w:cs="Arial"/>
          <w:sz w:val="22"/>
          <w:szCs w:val="22"/>
          <w:lang w:val="hr-HR"/>
        </w:rPr>
        <w:t>, u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>klađivanja Pravilnik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 xml:space="preserve"> o klasifikaciji radnih mjesta profesionalnih vatrogasaca i mjerila za utvrđivanje navedenih na nacionalnom nivou što bi u konačnici značilo u</w:t>
      </w:r>
      <w:r>
        <w:rPr>
          <w:rFonts w:ascii="Arial" w:eastAsia="Calibri" w:hAnsi="Arial" w:cs="Arial"/>
          <w:sz w:val="22"/>
          <w:szCs w:val="22"/>
          <w:lang w:val="hr-HR"/>
        </w:rPr>
        <w:t>većanje plaće za sve vatrogasce, p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>rovođenje plana nastave i vježbi</w:t>
      </w:r>
      <w:r>
        <w:rPr>
          <w:rFonts w:ascii="Arial" w:eastAsia="Calibri" w:hAnsi="Arial" w:cs="Arial"/>
          <w:sz w:val="22"/>
          <w:szCs w:val="22"/>
          <w:lang w:val="hr-HR"/>
        </w:rPr>
        <w:t>, p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>ružanje pomoći i suradnja s građanima, gradskim ustanovama, pravnim subjektima u preventivnom djelu zaštite od požara, te podizanje razine sigurnosti u gradskim i ostalim ustanovama.</w:t>
      </w:r>
    </w:p>
    <w:p w14:paraId="1F48252F" w14:textId="0ADA38B7" w:rsidR="00F11B79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Pokazatelj uspješnosti je i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>spunjenje obveze prema zaposlenima, održavanje objekta, opreme i prijevoznih sredstava na prihvatljivom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nivou operativne učinkovitosti, čime se 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>pridonosi učinkovitijim intervencijama uz korištenje manjeg broja vatrogasaca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š</w:t>
      </w:r>
      <w:r w:rsidRPr="00F11B79">
        <w:rPr>
          <w:rFonts w:ascii="Arial" w:eastAsia="Calibri" w:hAnsi="Arial" w:cs="Arial"/>
          <w:sz w:val="22"/>
          <w:szCs w:val="22"/>
          <w:lang w:val="hr-HR"/>
        </w:rPr>
        <w:t>to smanjuje rashode.</w:t>
      </w:r>
    </w:p>
    <w:p w14:paraId="70BE8285" w14:textId="77777777" w:rsidR="00F11B79" w:rsidRPr="00F11B79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F0088D8" w14:textId="0039AF23" w:rsidR="008B2BE6" w:rsidRDefault="008B2BE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8B2BE6">
        <w:rPr>
          <w:rFonts w:ascii="Arial" w:eastAsia="Calibri" w:hAnsi="Arial" w:cs="Arial"/>
          <w:sz w:val="22"/>
          <w:szCs w:val="22"/>
          <w:lang w:val="hr-HR"/>
        </w:rPr>
        <w:t>Aktivnost: Financiranje redovne djelatnosti JVP PODSTRANA</w:t>
      </w:r>
      <w:r w:rsidRPr="008B2BE6"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 xml:space="preserve">                 </w:t>
      </w:r>
      <w:r w:rsidR="00F11B79">
        <w:rPr>
          <w:rFonts w:ascii="Arial" w:eastAsia="Calibri" w:hAnsi="Arial" w:cs="Arial"/>
          <w:sz w:val="22"/>
          <w:szCs w:val="22"/>
          <w:lang w:val="hr-HR"/>
        </w:rPr>
        <w:t>3</w:t>
      </w:r>
      <w:r w:rsidRPr="008B2BE6">
        <w:rPr>
          <w:rFonts w:ascii="Arial" w:eastAsia="Calibri" w:hAnsi="Arial" w:cs="Arial"/>
          <w:sz w:val="22"/>
          <w:szCs w:val="22"/>
          <w:lang w:val="hr-HR"/>
        </w:rPr>
        <w:t>62.300 Eur</w:t>
      </w:r>
    </w:p>
    <w:p w14:paraId="365CBE74" w14:textId="77777777" w:rsidR="00F11B79" w:rsidRPr="008B2BE6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91AAE8" w14:textId="22A92BC2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RAZDJEL 005: UPRAVNI ODJEL ZA JAVNU NABAVU, GOSPODARSTVO,</w:t>
      </w:r>
    </w:p>
    <w:p w14:paraId="53565CE6" w14:textId="0256A505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DRUŠTVENE DJELATNOSTI I EU FONDOVE</w:t>
      </w:r>
    </w:p>
    <w:p w14:paraId="7C0A34F7" w14:textId="77777777" w:rsidR="00A07DBD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36BC7F" w14:textId="3E3A478D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Djelokrug ovog Upravnog odjela obuhvaća deset različitih programa iz područja socijalne skrbi, kulture, gospodarstva, zaštite i spašavanja.</w:t>
      </w:r>
    </w:p>
    <w:p w14:paraId="7835C263" w14:textId="77777777" w:rsidR="002E6CFC" w:rsidRPr="002E6CFC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E6CFC">
        <w:rPr>
          <w:rFonts w:ascii="Arial" w:eastAsia="Calibri" w:hAnsi="Arial" w:cs="Arial"/>
          <w:sz w:val="22"/>
          <w:szCs w:val="22"/>
          <w:lang w:val="hr-HR"/>
        </w:rPr>
        <w:t>Cilj  i opis programa:</w:t>
      </w:r>
    </w:p>
    <w:p w14:paraId="7AB94941" w14:textId="77777777" w:rsidR="00AF7DBB" w:rsidRDefault="00AF7DBB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09CB514" w14:textId="2DDFB933" w:rsidR="00AF7DBB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F7DBB">
        <w:rPr>
          <w:rFonts w:ascii="Arial" w:eastAsia="Calibri" w:hAnsi="Arial" w:cs="Arial"/>
          <w:sz w:val="22"/>
          <w:szCs w:val="22"/>
          <w:lang w:val="hr-HR"/>
        </w:rPr>
        <w:t>Osiguranje uvjeta za provedbu programa iz komunalnog sustava. Programom se planiraju sredstva za provedbu različitih natječaja sukladno Zakonu o javnoj nabavi, izvješćuje se građanstvo o komunalnim akcijama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16F3B43" w14:textId="313C47D6" w:rsidR="002E6CFC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E6CFC">
        <w:rPr>
          <w:rFonts w:ascii="Arial" w:eastAsia="Calibri" w:hAnsi="Arial" w:cs="Arial"/>
          <w:sz w:val="22"/>
          <w:szCs w:val="22"/>
          <w:lang w:val="hr-HR"/>
        </w:rPr>
        <w:t>Pripremne aktivnosti i pripreme EU projekata u novoj EU perspektivi 2021-2027 kandidiranja na otvorene javne pozive i natječaje te povećanje učinkovitosti u povlačenju bespovratnih EU sredstava, kao i uspješna provedba projekata za koje su odobrena sredstva iz EU programa.</w:t>
      </w:r>
    </w:p>
    <w:p w14:paraId="5CC1D624" w14:textId="478E615A" w:rsidR="002E6CFC" w:rsidRPr="002E6CFC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E6CFC">
        <w:rPr>
          <w:rFonts w:ascii="Arial" w:eastAsia="Calibri" w:hAnsi="Arial" w:cs="Arial"/>
          <w:sz w:val="22"/>
          <w:szCs w:val="22"/>
          <w:lang w:val="hr-HR"/>
        </w:rPr>
        <w:t>U  okviru programa planirana su sredstva za pripremu novih projekata za prijavu na javne pozive i natječaje za dodjelu bespovratnih EU sredstava, te sredstva za provedbu projekata za koje su dobivena EU sredstva.</w:t>
      </w:r>
    </w:p>
    <w:p w14:paraId="5CD7D3D9" w14:textId="761A1A14" w:rsidR="002E6CFC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E6CFC">
        <w:rPr>
          <w:rFonts w:ascii="Arial" w:eastAsia="Calibri" w:hAnsi="Arial" w:cs="Arial"/>
          <w:sz w:val="22"/>
          <w:szCs w:val="22"/>
          <w:lang w:val="hr-HR"/>
        </w:rPr>
        <w:t>Poticanje razvoja malog poduzetništva, te povećanje broja obrtnika i malih poduzetnika</w:t>
      </w:r>
    </w:p>
    <w:p w14:paraId="626779A2" w14:textId="1094AC8B" w:rsidR="002E6CFC" w:rsidRPr="004C05C7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U</w:t>
      </w:r>
      <w:r w:rsidRPr="002E6CFC">
        <w:rPr>
          <w:rFonts w:ascii="Arial" w:eastAsia="Calibri" w:hAnsi="Arial" w:cs="Arial"/>
          <w:sz w:val="22"/>
          <w:szCs w:val="22"/>
          <w:lang w:val="hr-HR"/>
        </w:rPr>
        <w:t xml:space="preserve"> raznim oblicima pomoći iz socijalne skrbi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cilj je i </w:t>
      </w:r>
      <w:r w:rsidRPr="002E6CFC">
        <w:rPr>
          <w:rFonts w:ascii="Arial" w:eastAsia="Calibri" w:hAnsi="Arial" w:cs="Arial"/>
          <w:sz w:val="22"/>
          <w:szCs w:val="22"/>
          <w:lang w:val="hr-HR"/>
        </w:rPr>
        <w:t>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55EA1EEA" w14:textId="7DF0EE65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Raspored ukupnih rashoda koji je nositelj ovaj razdjel u iznosu od </w:t>
      </w:r>
      <w:r w:rsidR="007A1EC7">
        <w:rPr>
          <w:rFonts w:ascii="Arial" w:eastAsia="Calibri" w:hAnsi="Arial" w:cs="Arial"/>
          <w:sz w:val="22"/>
          <w:szCs w:val="22"/>
          <w:lang w:val="hr-HR"/>
        </w:rPr>
        <w:t>17.551.750,00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kn</w:t>
      </w:r>
      <w:r w:rsidR="00F11B79">
        <w:rPr>
          <w:rFonts w:ascii="Arial" w:eastAsia="Calibri" w:hAnsi="Arial" w:cs="Arial"/>
          <w:sz w:val="22"/>
          <w:szCs w:val="22"/>
          <w:lang w:val="hr-HR"/>
        </w:rPr>
        <w:t xml:space="preserve"> (2.329.518 Eur)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po programima:</w:t>
      </w:r>
    </w:p>
    <w:p w14:paraId="076505E0" w14:textId="77777777" w:rsidR="002E6CFC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1B0DB7D" w14:textId="3C399063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 xml:space="preserve">Program 1002: Javna uprava i administracija </w:t>
      </w:r>
    </w:p>
    <w:p w14:paraId="48E11424" w14:textId="74869B0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26"/>
        <w:gridCol w:w="1500"/>
      </w:tblGrid>
      <w:tr w:rsidR="004C05C7" w:rsidRPr="004C05C7" w14:paraId="428D9568" w14:textId="77777777" w:rsidTr="005B4727">
        <w:trPr>
          <w:trHeight w:val="300"/>
        </w:trPr>
        <w:tc>
          <w:tcPr>
            <w:tcW w:w="4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78B9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54A1" w14:textId="2DC5861E" w:rsidR="004C05C7" w:rsidRPr="004C05C7" w:rsidRDefault="00F11B79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127.480 Eur</w:t>
            </w:r>
          </w:p>
        </w:tc>
      </w:tr>
    </w:tbl>
    <w:p w14:paraId="4CA9866E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1002: Financiranje projekata udruga</w:t>
      </w:r>
    </w:p>
    <w:p w14:paraId="1E970706" w14:textId="60B5E25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Planirana sre</w:t>
      </w:r>
      <w:r w:rsidR="00DB1379">
        <w:rPr>
          <w:rFonts w:ascii="Arial" w:eastAsia="Calibri" w:hAnsi="Arial" w:cs="Arial"/>
          <w:sz w:val="22"/>
          <w:szCs w:val="22"/>
          <w:lang w:val="hr-HR"/>
        </w:rPr>
        <w:t>dstva u iznosu od 132.723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odnose se na financiranje udr</w:t>
      </w:r>
      <w:r w:rsidR="00C450F3">
        <w:rPr>
          <w:rFonts w:ascii="Arial" w:eastAsia="Calibri" w:hAnsi="Arial" w:cs="Arial"/>
          <w:sz w:val="22"/>
          <w:szCs w:val="22"/>
          <w:lang w:val="hr-HR"/>
        </w:rPr>
        <w:t xml:space="preserve">uga koje će se javiti na javne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poziv</w:t>
      </w:r>
      <w:r w:rsidR="00C450F3">
        <w:rPr>
          <w:rFonts w:ascii="Arial" w:eastAsia="Calibri" w:hAnsi="Arial" w:cs="Arial"/>
          <w:sz w:val="22"/>
          <w:szCs w:val="22"/>
          <w:lang w:val="hr-HR"/>
        </w:rPr>
        <w:t>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za dostavom projekata koje će Općina Podstrana prihvati kao projekte od interesa za zadovoljavanje javnih potreba mještana.</w:t>
      </w:r>
    </w:p>
    <w:p w14:paraId="22F53B96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1003: Program predškolski odgoj</w:t>
      </w:r>
    </w:p>
    <w:p w14:paraId="34FBAB21" w14:textId="50F90DA0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Ovaj program obuhvaća aktivnos</w:t>
      </w:r>
      <w:r w:rsidR="005055A7">
        <w:rPr>
          <w:rFonts w:ascii="Arial" w:eastAsia="Calibri" w:hAnsi="Arial" w:cs="Arial"/>
          <w:sz w:val="22"/>
          <w:szCs w:val="22"/>
          <w:lang w:val="hr-HR"/>
        </w:rPr>
        <w:t>ti sufinanciranja boravka djece s područja općine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u ustanovama predškolskog odgoja. Na području općine djeluju tri ustanove, jedna vjerska zajednica, te jedan obrt za dadilje, koje u 9 objekata obavljaju djelatnost dječjih vrtić</w:t>
      </w:r>
      <w:r w:rsidR="005055A7">
        <w:rPr>
          <w:rFonts w:ascii="Arial" w:eastAsia="Calibri" w:hAnsi="Arial" w:cs="Arial"/>
          <w:sz w:val="22"/>
          <w:szCs w:val="22"/>
          <w:lang w:val="hr-HR"/>
        </w:rPr>
        <w:t xml:space="preserve">a, a Općina Podstrana sukladno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Odluci o socijalnoj skrbi sufinancira boravak djeteta sa </w:t>
      </w:r>
      <w:r w:rsidR="00DB1379">
        <w:rPr>
          <w:rFonts w:ascii="Arial" w:eastAsia="Calibri" w:hAnsi="Arial" w:cs="Arial"/>
          <w:sz w:val="22"/>
          <w:szCs w:val="22"/>
          <w:lang w:val="hr-HR"/>
        </w:rPr>
        <w:t>172,54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mjesečno, te osigurava još </w:t>
      </w:r>
      <w:r w:rsidR="00DB1379" w:rsidRPr="00DB1379">
        <w:rPr>
          <w:rFonts w:ascii="Arial" w:eastAsia="Calibri" w:hAnsi="Arial" w:cs="Arial"/>
          <w:sz w:val="22"/>
          <w:szCs w:val="22"/>
          <w:lang w:val="hr-HR"/>
        </w:rPr>
        <w:t xml:space="preserve">13,27 </w:t>
      </w:r>
      <w:r w:rsidR="00DB1379">
        <w:rPr>
          <w:rFonts w:ascii="Arial" w:eastAsia="Calibri" w:hAnsi="Arial" w:cs="Arial"/>
          <w:sz w:val="22"/>
          <w:szCs w:val="22"/>
          <w:lang w:val="hr-HR"/>
        </w:rPr>
        <w:t>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godišnje po upisanom djetetu na ime poklona za Božić.</w:t>
      </w:r>
    </w:p>
    <w:p w14:paraId="078B750A" w14:textId="77777777" w:rsidR="00916A06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16A06">
        <w:rPr>
          <w:rFonts w:ascii="Arial" w:eastAsia="Calibri" w:hAnsi="Arial" w:cs="Arial"/>
          <w:sz w:val="22"/>
          <w:szCs w:val="22"/>
          <w:lang w:val="hr-HR"/>
        </w:rPr>
        <w:lastRenderedPageBreak/>
        <w:t>Cilj programa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je p</w:t>
      </w:r>
      <w:r w:rsidRPr="00916A06">
        <w:rPr>
          <w:rFonts w:ascii="Arial" w:eastAsia="Calibri" w:hAnsi="Arial" w:cs="Arial"/>
          <w:sz w:val="22"/>
          <w:szCs w:val="22"/>
          <w:lang w:val="hr-HR"/>
        </w:rPr>
        <w:t xml:space="preserve">oticanje cjelovitog razvoja svih funkcija, sposobnosti i mogućnosti, očuvanje tjelesnog i mentalnog zdravlja djeteta, a u skladu sa suvremenim znanstvenim spoznajama, zakonitostima djetetova razvoja i njegovim stvarnim mogućnostima. </w:t>
      </w:r>
    </w:p>
    <w:p w14:paraId="151E5DD2" w14:textId="0E5C573D" w:rsidR="00916A06" w:rsidRPr="004C05C7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16A06">
        <w:rPr>
          <w:rFonts w:ascii="Arial" w:eastAsia="Calibri" w:hAnsi="Arial" w:cs="Arial"/>
          <w:sz w:val="22"/>
          <w:szCs w:val="22"/>
          <w:lang w:val="hr-HR"/>
        </w:rPr>
        <w:t>Predškolski odgoj obuhvaća programe odgoja, obrazovanja, zdravstvene zaštite, prehrane i socijalne skrbi koji se ostvaruju u dječjim vrtićima sukladno Zakonu o predškolskom odgoju i obrazovanju (NN 10/97, 107/07 i 94/13).</w:t>
      </w:r>
    </w:p>
    <w:p w14:paraId="35E0EF53" w14:textId="5B61E871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Za ovaj program se predlaže iznos od </w:t>
      </w:r>
      <w:r w:rsidR="00DB1379">
        <w:rPr>
          <w:rFonts w:ascii="Arial" w:eastAsia="Calibri" w:hAnsi="Arial" w:cs="Arial"/>
          <w:sz w:val="22"/>
          <w:szCs w:val="22"/>
          <w:lang w:val="hr-HR"/>
        </w:rPr>
        <w:t>1.035.238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6F5B8F" w14:textId="77777777" w:rsidR="005055A7" w:rsidRPr="004C05C7" w:rsidRDefault="005055A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14A10EE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1004: Javne potrebe u sportu</w:t>
      </w:r>
    </w:p>
    <w:p w14:paraId="617842C4" w14:textId="53E87C65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Ovaj program obuhvaća financiranje javnih potreba u sportu, koji se izvršava preko Zajednice sportskih udruga općine Podstrana, za koje je predviđen iznos od </w:t>
      </w:r>
      <w:r w:rsidR="00FF5AD6" w:rsidRPr="00FF5AD6">
        <w:rPr>
          <w:rFonts w:ascii="Arial" w:eastAsia="Calibri" w:hAnsi="Arial" w:cs="Arial"/>
          <w:sz w:val="22"/>
          <w:szCs w:val="22"/>
          <w:lang w:val="hr-HR"/>
        </w:rPr>
        <w:t>152.631,23</w:t>
      </w:r>
      <w:r w:rsidR="00FF5AD6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te </w:t>
      </w:r>
      <w:r w:rsidR="00C56544">
        <w:rPr>
          <w:rFonts w:ascii="Arial" w:eastAsia="Calibri" w:hAnsi="Arial" w:cs="Arial"/>
          <w:sz w:val="22"/>
          <w:szCs w:val="22"/>
          <w:lang w:val="hr-HR"/>
        </w:rPr>
        <w:t xml:space="preserve">4.247 </w:t>
      </w:r>
      <w:proofErr w:type="spellStart"/>
      <w:r w:rsidR="00C5654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za najam dvorane u OŠ „</w:t>
      </w:r>
      <w:proofErr w:type="spellStart"/>
      <w:r w:rsidRPr="004C05C7">
        <w:rPr>
          <w:rFonts w:ascii="Arial" w:eastAsia="Calibri" w:hAnsi="Arial" w:cs="Arial"/>
          <w:sz w:val="22"/>
          <w:szCs w:val="22"/>
          <w:lang w:val="hr-HR"/>
        </w:rPr>
        <w:t>Strožanac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>“.</w:t>
      </w:r>
    </w:p>
    <w:p w14:paraId="7E3A3D1B" w14:textId="09915618" w:rsidR="007A4B2C" w:rsidRPr="004C05C7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Ciljevi ovog programa su promicanje sporta na području općine, skrb o kategoriziranim sportašima, skrb o javnim sportskim građevinama, provođenje mjera zdravstvene zaštite sportaša, sudjelovanje u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ostavrivanju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 programa HOO-a, dodjela priznanja, nagrada i pohvala za postignute rezultate u sportu.</w:t>
      </w:r>
    </w:p>
    <w:p w14:paraId="5DA63DE8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1005: Potpora poljoprivredi</w:t>
      </w:r>
    </w:p>
    <w:p w14:paraId="4DA1CBEA" w14:textId="330AB0D3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Ovim programom se kroz aktivnost Subvencija poljoprivrednicima omogućava OPG-ima nabavka sadnica za povećanje poljoprivrednih površina te se za ovu aktivnost osigurava </w:t>
      </w:r>
      <w:r w:rsidR="00C56544">
        <w:rPr>
          <w:rFonts w:ascii="Arial" w:eastAsia="Calibri" w:hAnsi="Arial" w:cs="Arial"/>
          <w:sz w:val="22"/>
          <w:szCs w:val="22"/>
          <w:lang w:val="hr-HR"/>
        </w:rPr>
        <w:t xml:space="preserve">1.327 </w:t>
      </w:r>
      <w:proofErr w:type="spellStart"/>
      <w:r w:rsidR="00C5654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102DEA9" w14:textId="450F91F4" w:rsidR="00934174" w:rsidRPr="00934174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34174">
        <w:rPr>
          <w:rFonts w:ascii="Arial" w:eastAsia="Calibri" w:hAnsi="Arial" w:cs="Arial"/>
          <w:sz w:val="22"/>
          <w:szCs w:val="22"/>
          <w:lang w:val="hr-HR"/>
        </w:rPr>
        <w:t>Cilj programa: Stvaranje preduvjeta za razvoj poljoprivrede kroz poticanje poljoprivrednika za uspostavu novih nasada, odnosno stada, poticanje certificirane proizvodnje poljoprivrednih proizvoda, razvoj proizvoda i slično, kao i ulaganje u infrastrukturu-osiguravanje vodovodnih priključaka, kako bi se olakšala i intenzivirala poljoprivredna djelatnost.</w:t>
      </w:r>
    </w:p>
    <w:p w14:paraId="26EDD5DD" w14:textId="0693716A" w:rsidR="00934174" w:rsidRPr="00934174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34174">
        <w:rPr>
          <w:rFonts w:ascii="Arial" w:eastAsia="Calibri" w:hAnsi="Arial" w:cs="Arial"/>
          <w:sz w:val="22"/>
          <w:szCs w:val="22"/>
          <w:lang w:val="hr-HR"/>
        </w:rPr>
        <w:t xml:space="preserve">Opis programa: Program se provodi kroz dodjelu bespovratnih subvencija za obnovu nasada, nabavu repromaterijala i opreme, navodnjavanje, kupovinu umjetnih gnojiva i slično. </w:t>
      </w:r>
    </w:p>
    <w:p w14:paraId="3C2E5D54" w14:textId="77777777" w:rsidR="00934174" w:rsidRPr="004C05C7" w:rsidRDefault="0093417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318B9A8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1008: Jačanje gospodarstva</w:t>
      </w:r>
    </w:p>
    <w:p w14:paraId="76974037" w14:textId="27A08148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Planiranim programom se osiguravaju sredstva </w:t>
      </w:r>
      <w:r w:rsidR="00B1613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C56544">
        <w:rPr>
          <w:rFonts w:ascii="Arial" w:eastAsia="Calibri" w:hAnsi="Arial" w:cs="Arial"/>
          <w:sz w:val="22"/>
          <w:szCs w:val="22"/>
          <w:lang w:val="hr-HR"/>
        </w:rPr>
        <w:t>4.645 Eur</w:t>
      </w:r>
      <w:r w:rsidR="00B1613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za provedbu projekta: Ulaganje u razvoj MSP-ova putem PC "Scala d.o.o.", kojom bi se educirala mala i srednja poduzeća sa područja Općine Podstrana.</w:t>
      </w:r>
    </w:p>
    <w:p w14:paraId="538C613A" w14:textId="00548491" w:rsidR="007A4B2C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7A4B2C">
        <w:rPr>
          <w:rFonts w:ascii="Arial" w:eastAsia="Calibri" w:hAnsi="Arial" w:cs="Arial"/>
          <w:sz w:val="22"/>
          <w:szCs w:val="22"/>
          <w:lang w:val="hr-HR"/>
        </w:rPr>
        <w:t>Projekt doprinosi umrežavanju i podizanju kapaciteta na način da je Općina Podstrana partner Poduzetničkom centru Scala d.o.o. (Prijavitelj), a istovremeno je Poduzetnički centar Scala d.o.o. partner poduzetničkom akceleratoru E.C.H.R. d.o.o., koji se profilirao za tehnologije u zdravstvu. Također, suradnja s Razvojnom agencijom Split od ključne je važnosti radi uspostavljanja i razvijanja komunikacije s Gradom Splitom te koordiniranja i povezivanja suradnje između PPI-ova.</w:t>
      </w:r>
    </w:p>
    <w:p w14:paraId="04D74F89" w14:textId="77777777" w:rsidR="007A4B2C" w:rsidRPr="007A4B2C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7A4B2C">
        <w:rPr>
          <w:rFonts w:ascii="Arial" w:eastAsia="Calibri" w:hAnsi="Arial" w:cs="Arial"/>
          <w:sz w:val="22"/>
          <w:szCs w:val="22"/>
          <w:lang w:val="hr-HR"/>
        </w:rPr>
        <w:t>Cilj projekta na području UAS je omogućavanje povoljnog okruženja za osnivanje i razvoj MSP kroz pružanje podrške MSP te jačanje vlastitih kapaciteta i kompetencija.</w:t>
      </w:r>
    </w:p>
    <w:p w14:paraId="5312E2DB" w14:textId="77777777" w:rsidR="007A4B2C" w:rsidRPr="007A4B2C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695CC38" w14:textId="77777777" w:rsidR="007A4B2C" w:rsidRPr="007A4B2C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7A4B2C">
        <w:rPr>
          <w:rFonts w:ascii="Arial" w:eastAsia="Calibri" w:hAnsi="Arial" w:cs="Arial"/>
          <w:sz w:val="22"/>
          <w:szCs w:val="22"/>
          <w:lang w:val="hr-HR"/>
        </w:rPr>
        <w:lastRenderedPageBreak/>
        <w:t>Projektom se doprinosi rješavanju problema konkurentnosti MSP i zapošljavanja te nedostatne i nepovezane potporne infrastrukture. Ciljne skupine projekta su MSP, PPI i JLS.</w:t>
      </w:r>
    </w:p>
    <w:p w14:paraId="456E4C7F" w14:textId="1C4A7C03" w:rsidR="007A4B2C" w:rsidRPr="004C05C7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7A4B2C">
        <w:rPr>
          <w:rFonts w:ascii="Arial" w:eastAsia="Calibri" w:hAnsi="Arial" w:cs="Arial"/>
          <w:sz w:val="22"/>
          <w:szCs w:val="22"/>
          <w:lang w:val="hr-HR"/>
        </w:rPr>
        <w:t>Provedbom aktivnosti usmjerenih na stvaranje koordinirane mreže PPI na razini UAS, profiliranje PPI i razvoj personaliziranih visokokvalitetnih usluga koje se odnose na savjetodavnu i mentorsku podršku MSP doprinosi se unapređenju organizacijskih, upravljačkih, programskih i tržišnih potencijala MSP u različitim fazama njihovog rasta i razvoja.</w:t>
      </w:r>
    </w:p>
    <w:p w14:paraId="2387642F" w14:textId="3D7CE935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1007: Socijalna skrb</w:t>
      </w:r>
    </w:p>
    <w:p w14:paraId="7C0B6EAA" w14:textId="5EAED311" w:rsidR="00360ADF" w:rsidRPr="00360ADF" w:rsidRDefault="00360ADF" w:rsidP="00360A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360ADF">
        <w:rPr>
          <w:rFonts w:ascii="Arial" w:eastAsia="Calibri" w:hAnsi="Arial" w:cs="Arial"/>
          <w:bCs/>
          <w:sz w:val="22"/>
          <w:szCs w:val="22"/>
          <w:lang w:val="hr-HR"/>
        </w:rPr>
        <w:t>Cilj programa</w:t>
      </w:r>
      <w:r>
        <w:rPr>
          <w:rFonts w:ascii="Arial" w:eastAsia="Calibri" w:hAnsi="Arial" w:cs="Arial"/>
          <w:bCs/>
          <w:sz w:val="22"/>
          <w:szCs w:val="22"/>
          <w:lang w:val="hr-HR"/>
        </w:rPr>
        <w:t xml:space="preserve"> je u </w:t>
      </w:r>
      <w:r w:rsidRPr="00360ADF">
        <w:rPr>
          <w:rFonts w:ascii="Arial" w:eastAsia="Calibri" w:hAnsi="Arial" w:cs="Arial"/>
          <w:bCs/>
          <w:sz w:val="22"/>
          <w:szCs w:val="22"/>
          <w:lang w:val="hr-HR"/>
        </w:rPr>
        <w:t>raznim oblicima pomoći iz socijalne skrbi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1C1B2FA0" w14:textId="58BC455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Za ovaj program ukupno planirana sredstva od </w:t>
      </w:r>
      <w:r w:rsidR="00FF5AD6" w:rsidRPr="00FF5AD6">
        <w:rPr>
          <w:rFonts w:ascii="Arial" w:eastAsia="Calibri" w:hAnsi="Arial" w:cs="Arial"/>
          <w:sz w:val="22"/>
          <w:szCs w:val="22"/>
          <w:lang w:val="hr-HR"/>
        </w:rPr>
        <w:t>530.659</w:t>
      </w:r>
      <w:r w:rsidR="00C56544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u 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aktivnosti „Novčane pomoći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“ su u visini od obuhvaćaju rashode kako slijedi:</w:t>
      </w:r>
    </w:p>
    <w:tbl>
      <w:tblPr>
        <w:tblW w:w="4967" w:type="pct"/>
        <w:jc w:val="center"/>
        <w:tblLook w:val="04A0" w:firstRow="1" w:lastRow="0" w:firstColumn="1" w:lastColumn="0" w:noHBand="0" w:noVBand="1"/>
      </w:tblPr>
      <w:tblGrid>
        <w:gridCol w:w="7089"/>
        <w:gridCol w:w="1877"/>
      </w:tblGrid>
      <w:tr w:rsidR="00C56544" w:rsidRPr="004C05C7" w14:paraId="6F134F0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CAB7" w14:textId="77777777" w:rsidR="00C56544" w:rsidRPr="004C05C7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NAKNADE GRAĐANIMA U NOVCU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B429" w14:textId="530CFA95" w:rsidR="00C56544" w:rsidRPr="00C56544" w:rsidRDefault="00FF5AD6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F5AD6">
              <w:rPr>
                <w:rFonts w:ascii="Arial" w:hAnsi="Arial" w:cs="Arial"/>
                <w:sz w:val="22"/>
                <w:szCs w:val="22"/>
              </w:rPr>
              <w:t>64.105,12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4C05C7" w14:paraId="744183D0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99FB" w14:textId="77777777" w:rsidR="00C56544" w:rsidRPr="004C05C7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POMOĆ RODILJAMA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1550" w14:textId="0BF94ADC" w:rsidR="00C56544" w:rsidRPr="00C56544" w:rsidRDefault="00C5654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C56544">
              <w:rPr>
                <w:rFonts w:ascii="Arial" w:hAnsi="Arial" w:cs="Arial"/>
                <w:sz w:val="22"/>
                <w:szCs w:val="22"/>
              </w:rPr>
              <w:t>66.361,40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4C05C7" w14:paraId="74EEBB38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B608" w14:textId="77777777" w:rsidR="00C56544" w:rsidRPr="004C05C7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STIPENDIJE I ŠKOLARINE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00EF" w14:textId="608936CA" w:rsidR="00C56544" w:rsidRPr="00C56544" w:rsidRDefault="00C56544" w:rsidP="00C5654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56544">
              <w:rPr>
                <w:rFonts w:ascii="Arial" w:hAnsi="Arial" w:cs="Arial"/>
                <w:sz w:val="22"/>
                <w:szCs w:val="22"/>
              </w:rPr>
              <w:t>119.450,53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4C05C7" w14:paraId="0F2D7D9B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50DA" w14:textId="77777777" w:rsidR="00C56544" w:rsidRPr="004C05C7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SREDNJIH ŠKOLA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7843" w14:textId="097497BC" w:rsidR="00C56544" w:rsidRPr="00C56544" w:rsidRDefault="00C5654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C56544">
              <w:rPr>
                <w:rFonts w:ascii="Arial" w:hAnsi="Arial" w:cs="Arial"/>
                <w:sz w:val="22"/>
                <w:szCs w:val="22"/>
              </w:rPr>
              <w:t>69.679,47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4C05C7" w14:paraId="6BA88C5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5FED" w14:textId="77777777" w:rsidR="00C56544" w:rsidRPr="004C05C7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OŠ STROŽANAC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DEEB" w14:textId="359CECF1" w:rsidR="00C56544" w:rsidRPr="00C56544" w:rsidRDefault="00C5654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C56544">
              <w:rPr>
                <w:rFonts w:ascii="Arial" w:hAnsi="Arial" w:cs="Arial"/>
                <w:sz w:val="22"/>
                <w:szCs w:val="22"/>
              </w:rPr>
              <w:t>53.089,12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4C05C7" w14:paraId="6A9F8B6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E44" w14:textId="77777777" w:rsidR="00C56544" w:rsidRPr="004C05C7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ZA STUDENTE I ĐAKE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AAF6" w14:textId="40C56A98" w:rsidR="00C56544" w:rsidRPr="00C56544" w:rsidRDefault="00C5654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C56544">
              <w:rPr>
                <w:rFonts w:ascii="Arial" w:hAnsi="Arial" w:cs="Arial"/>
                <w:sz w:val="22"/>
                <w:szCs w:val="22"/>
              </w:rPr>
              <w:t>2.654,46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4C05C7" w14:paraId="061B22E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3881" w14:textId="77777777" w:rsidR="00C56544" w:rsidRPr="004C05C7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G. PODSTRANA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5BEA" w14:textId="1D7F4B09" w:rsidR="00C56544" w:rsidRPr="00C56544" w:rsidRDefault="00C5654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C56544">
              <w:rPr>
                <w:rFonts w:ascii="Arial" w:hAnsi="Arial" w:cs="Arial"/>
                <w:sz w:val="22"/>
                <w:szCs w:val="22"/>
              </w:rPr>
              <w:t>26.544,56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4C05C7" w:rsidRPr="004C05C7" w14:paraId="1F62BDD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04B5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ASISTENT ZA DJECU S POSEBNIM POTREBAMA U VRTIĆIMA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7935" w14:textId="548E6DF9" w:rsidR="004C05C7" w:rsidRPr="00C56544" w:rsidRDefault="00C5654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C56544">
              <w:rPr>
                <w:rFonts w:ascii="Arial" w:eastAsia="Calibri" w:hAnsi="Arial" w:cs="Arial"/>
                <w:sz w:val="22"/>
                <w:szCs w:val="22"/>
                <w:lang w:val="hr-HR"/>
              </w:rPr>
              <w:t>79.633,69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Eur</w:t>
            </w:r>
          </w:p>
        </w:tc>
      </w:tr>
    </w:tbl>
    <w:p w14:paraId="2A19EE46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47B4C30" w14:textId="2DCED31A" w:rsidR="00012594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Kroz ovaj program finacira se i </w:t>
      </w: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EU projekt Zaželimo zajedno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12594">
        <w:rPr>
          <w:rFonts w:ascii="Arial" w:eastAsia="Calibri" w:hAnsi="Arial" w:cs="Arial"/>
          <w:sz w:val="22"/>
          <w:szCs w:val="22"/>
          <w:lang w:val="hr-HR"/>
        </w:rPr>
        <w:t>-</w:t>
      </w:r>
      <w:r w:rsidR="00012594" w:rsidRPr="00012594">
        <w:rPr>
          <w:rFonts w:ascii="Arial" w:eastAsia="Calibri" w:hAnsi="Arial" w:cs="Arial"/>
          <w:sz w:val="22"/>
          <w:szCs w:val="22"/>
          <w:lang w:val="hr-HR"/>
        </w:rPr>
        <w:t>Projektom se zapošljava 15 žena iz ciljanih skupina na period od 6 mjeseci koje će brinuti o  90 krajnjih korisnika s područja općine Podstrane što znači da projekt „Ponovno zaželimo zajedno“ rješava problem velike nezaposlenosti žena, smanjuje socijalnu isključenost osoba u nepovoljnom položaju i sprječava njihovu institucionalizaciju te povećava razinu kvalitete života.</w:t>
      </w:r>
    </w:p>
    <w:p w14:paraId="36D0977E" w14:textId="122C9FD2" w:rsidR="009B4108" w:rsidRDefault="0001259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C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ilj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projekta je 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>potaknuti socijalnu uključenost i povećati razinu kvalitete života 90 krajnjih korisnika, što će se osigurati zapošljava</w:t>
      </w:r>
      <w:r w:rsidR="005055A7">
        <w:rPr>
          <w:rFonts w:ascii="Arial" w:eastAsia="Calibri" w:hAnsi="Arial" w:cs="Arial"/>
          <w:sz w:val="22"/>
          <w:szCs w:val="22"/>
          <w:lang w:val="hr-HR"/>
        </w:rPr>
        <w:t xml:space="preserve">njem 15 </w:t>
      </w:r>
      <w:r w:rsidR="004C05C7" w:rsidRPr="004C05C7">
        <w:rPr>
          <w:rFonts w:ascii="Arial" w:eastAsia="Calibri" w:hAnsi="Arial" w:cs="Arial"/>
          <w:sz w:val="22"/>
          <w:szCs w:val="22"/>
          <w:lang w:val="hr-HR"/>
        </w:rPr>
        <w:t xml:space="preserve">žena koje će im pružati potporu i podršku u kućanstvu u periodu od 6 mjeseci. </w:t>
      </w:r>
    </w:p>
    <w:p w14:paraId="6B8BCD80" w14:textId="6167307C" w:rsidR="009B4108" w:rsidRPr="009B4108" w:rsidRDefault="009B4108" w:rsidP="009B4108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B4108">
        <w:rPr>
          <w:rFonts w:ascii="Arial" w:eastAsia="Calibri" w:hAnsi="Arial" w:cs="Arial"/>
          <w:sz w:val="22"/>
          <w:szCs w:val="22"/>
          <w:lang w:val="hr-HR"/>
        </w:rPr>
        <w:t>Zapošljavanjem žena na ovim poslovima, postići će se veća razina socijalizacije starijih i nemoćnih osoba, olakšati će im se obavljanje svakodnevnih aktivnosti u njihovom domu, smanjiti će se rizik od siromaštva, socijalne iskljućenosti</w:t>
      </w:r>
      <w:r>
        <w:rPr>
          <w:rFonts w:ascii="Arial" w:eastAsia="Calibri" w:hAnsi="Arial" w:cs="Arial"/>
          <w:sz w:val="22"/>
          <w:szCs w:val="22"/>
          <w:lang w:val="hr-HR"/>
        </w:rPr>
        <w:t>,</w:t>
      </w:r>
      <w:r w:rsidRPr="009B4108">
        <w:rPr>
          <w:rFonts w:ascii="Arial" w:eastAsia="Calibri" w:hAnsi="Arial" w:cs="Arial"/>
          <w:sz w:val="22"/>
          <w:szCs w:val="22"/>
          <w:lang w:val="hr-HR"/>
        </w:rPr>
        <w:t xml:space="preserve"> a povećati će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Pr="009B4108">
        <w:rPr>
          <w:rFonts w:ascii="Arial" w:eastAsia="Calibri" w:hAnsi="Arial" w:cs="Arial"/>
          <w:sz w:val="22"/>
          <w:szCs w:val="22"/>
          <w:lang w:val="hr-HR"/>
        </w:rPr>
        <w:t xml:space="preserve"> i unaprijediti radni potencijal teže zapošljivih žena na način da će one biti zaposlene u lokalnoj zajednici.</w:t>
      </w:r>
    </w:p>
    <w:p w14:paraId="54FBEA45" w14:textId="525FC909" w:rsidR="009B4108" w:rsidRDefault="009B4108" w:rsidP="009B4108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B4108">
        <w:rPr>
          <w:rFonts w:ascii="Arial" w:eastAsia="Calibri" w:hAnsi="Arial" w:cs="Arial"/>
          <w:sz w:val="22"/>
          <w:szCs w:val="22"/>
          <w:lang w:val="hr-HR"/>
        </w:rPr>
        <w:t>Projekt će doprinijeti rastu stope zaposlenih u lokalnoj zajednici te će se zapošljavanjem žena prijavljenih u evidenciju zaposlenih poboljšati životni standard cijele obitelji, a one će svojim radom doprinijeti poboljšanju kvalitete života krajnjih korisnika te u konačnici cijele lokalne zajednice.</w:t>
      </w:r>
    </w:p>
    <w:p w14:paraId="3FD6AEFF" w14:textId="038C421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Za provedbu ovog programa osigurano je </w:t>
      </w:r>
      <w:r w:rsidR="00C56544">
        <w:rPr>
          <w:rFonts w:ascii="Arial" w:eastAsia="Calibri" w:hAnsi="Arial" w:cs="Arial"/>
          <w:sz w:val="22"/>
          <w:szCs w:val="22"/>
          <w:lang w:val="hr-HR"/>
        </w:rPr>
        <w:t>49.141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A0455FD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Program 1008: Razvoj civilnog društva</w:t>
      </w:r>
    </w:p>
    <w:p w14:paraId="03638D3A" w14:textId="7FD84CAC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Ovaj program obuhvaća 6 aktivnosti u ukupnom iznosu od </w:t>
      </w:r>
      <w:r w:rsidR="00C56544">
        <w:rPr>
          <w:rFonts w:ascii="Arial" w:eastAsia="Calibri" w:hAnsi="Arial" w:cs="Arial"/>
          <w:sz w:val="22"/>
          <w:szCs w:val="22"/>
          <w:lang w:val="hr-HR"/>
        </w:rPr>
        <w:t>236.114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kojim se sufinanciraju organizacije koje je Općina dužna financirati po posebnim zakonima, te programe kojima se podiže razina kvalitete življenja, solidarnosti i zajedništva, od kojih je i jedan projekt sufinanciran sredstvima EU.</w:t>
      </w:r>
    </w:p>
    <w:p w14:paraId="1D2D9408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Pregled aktivnosti i planiranih rashoda u ovom programu: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33"/>
        <w:gridCol w:w="1293"/>
      </w:tblGrid>
      <w:tr w:rsidR="004C05C7" w:rsidRPr="004C05C7" w14:paraId="52AEE5BB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C5F4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Hrvatski Crveni križ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13AE" w14:textId="17E73FF6" w:rsidR="004C05C7" w:rsidRPr="004C05C7" w:rsidRDefault="00C5654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19.908 Eur</w:t>
            </w:r>
          </w:p>
        </w:tc>
      </w:tr>
      <w:tr w:rsidR="004C05C7" w:rsidRPr="004C05C7" w14:paraId="6498E198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9F3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zajednice-redovna djelatnost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2225" w14:textId="52191EB1" w:rsidR="004C05C7" w:rsidRPr="004C05C7" w:rsidRDefault="00C5654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53.089 Eur</w:t>
            </w:r>
          </w:p>
        </w:tc>
      </w:tr>
      <w:tr w:rsidR="004C05C7" w:rsidRPr="004C05C7" w14:paraId="7FBF1EC3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3AC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zajednice-uređenje sakralnih objekata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3632" w14:textId="528F1D1B" w:rsidR="004C05C7" w:rsidRPr="004C05C7" w:rsidRDefault="00C5654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66.361 Eur</w:t>
            </w:r>
          </w:p>
        </w:tc>
      </w:tr>
      <w:tr w:rsidR="004C05C7" w:rsidRPr="004C05C7" w14:paraId="445F89B0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0FC1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Gradska knjižnica Marko Marulić - Split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55521" w14:textId="05F373BB" w:rsidR="004C05C7" w:rsidRPr="004C05C7" w:rsidRDefault="00C56544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22.563 Eur</w:t>
            </w:r>
          </w:p>
        </w:tc>
      </w:tr>
      <w:tr w:rsidR="004C05C7" w:rsidRPr="004C05C7" w14:paraId="42FE4CA5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EF58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Donacije zdravstvenim organizacijama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C49B" w14:textId="035E754D" w:rsidR="004C05C7" w:rsidRPr="004C05C7" w:rsidRDefault="005055A7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C56544">
              <w:rPr>
                <w:rFonts w:ascii="Arial" w:eastAsia="Calibri" w:hAnsi="Arial" w:cs="Arial"/>
                <w:sz w:val="22"/>
                <w:szCs w:val="22"/>
                <w:lang w:val="hr-HR"/>
              </w:rPr>
              <w:t>2.654 Eur</w:t>
            </w:r>
          </w:p>
        </w:tc>
      </w:tr>
    </w:tbl>
    <w:p w14:paraId="30CF23B8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700290A" w14:textId="20B3AF28" w:rsidR="005055A7" w:rsidRDefault="005055A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Projekt: EU projekt - Korak po korak</w:t>
      </w:r>
    </w:p>
    <w:p w14:paraId="5666F9DC" w14:textId="3B5FA01B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Planirani iznos: </w:t>
      </w:r>
      <w:r w:rsidR="00C56544">
        <w:rPr>
          <w:rFonts w:ascii="Arial" w:eastAsia="Calibri" w:hAnsi="Arial" w:cs="Arial"/>
          <w:sz w:val="22"/>
          <w:szCs w:val="22"/>
          <w:lang w:val="hr-HR"/>
        </w:rPr>
        <w:t>71.007 Eur</w:t>
      </w:r>
    </w:p>
    <w:p w14:paraId="478C5692" w14:textId="26220C0A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Nastavak proved</w:t>
      </w:r>
      <w:r w:rsidR="005055A7">
        <w:rPr>
          <w:rFonts w:ascii="Arial" w:eastAsia="Calibri" w:hAnsi="Arial" w:cs="Arial"/>
          <w:sz w:val="22"/>
          <w:szCs w:val="22"/>
          <w:lang w:val="hr-HR"/>
        </w:rPr>
        <w:t>be projekta započetog u 2021. godini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kojem je cilj razviti i proširiti dostupnost izvaninstitucijskih socijalnih usluga za najranjivije skupine društva na području O</w:t>
      </w:r>
      <w:r w:rsidR="005055A7">
        <w:rPr>
          <w:rFonts w:ascii="Arial" w:eastAsia="Calibri" w:hAnsi="Arial" w:cs="Arial"/>
          <w:sz w:val="22"/>
          <w:szCs w:val="22"/>
          <w:lang w:val="hr-HR"/>
        </w:rPr>
        <w:t>pćine Podstrana</w:t>
      </w:r>
      <w:r w:rsidR="009B4108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r w:rsidR="009B4108" w:rsidRPr="009B4108">
        <w:rPr>
          <w:rFonts w:ascii="Arial" w:eastAsia="Calibri" w:hAnsi="Arial" w:cs="Arial"/>
          <w:sz w:val="22"/>
          <w:szCs w:val="22"/>
          <w:lang w:val="hr-HR"/>
        </w:rPr>
        <w:t>Urbane aglomeracije Split</w:t>
      </w:r>
      <w:r w:rsidRPr="009B4108">
        <w:rPr>
          <w:rFonts w:ascii="Arial" w:eastAsia="Calibri" w:hAnsi="Arial" w:cs="Arial"/>
          <w:sz w:val="22"/>
          <w:szCs w:val="22"/>
          <w:lang w:val="hr-HR"/>
        </w:rPr>
        <w:t>.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Partner na projektu je Dom za ovisnike Zajednica susret.</w:t>
      </w:r>
      <w:r w:rsidR="009B4108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B4108" w:rsidRPr="009B4108">
        <w:rPr>
          <w:rFonts w:ascii="Arial" w:eastAsia="Calibri" w:hAnsi="Arial" w:cs="Arial"/>
          <w:sz w:val="22"/>
          <w:szCs w:val="22"/>
          <w:lang w:val="hr-HR"/>
        </w:rPr>
        <w:t>Ciljne skupine projekta su djeca s teškoćama u razvoju, starije osobe, odrasle osobe s invaliditetom i djeca i mlađe punoljetne osobe s problemima u ponašanju.</w:t>
      </w:r>
    </w:p>
    <w:p w14:paraId="0334A6CA" w14:textId="1A5D357F" w:rsidR="009B4108" w:rsidRDefault="009B410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B4108">
        <w:rPr>
          <w:rFonts w:ascii="Arial" w:eastAsia="Calibri" w:hAnsi="Arial" w:cs="Arial"/>
          <w:sz w:val="22"/>
          <w:szCs w:val="22"/>
          <w:lang w:val="hr-HR"/>
        </w:rPr>
        <w:t>Ciljevi projekta su pružiti izvaninstitucionalne socijalne usluge psihosocijalne podrške, savjetovanja i pomaganja te podrške u inkluziji najranjivijim skupinama društva koje će im izravno pomoći da se poveća njihova mobilnost i smanji društvena isključenost; ojačati kapacitete i znanje 6 stručnjaka koji rade s pripadnicima ciljanih skupina te osvijestiti javnost o važnosti pružanja socijalnih usluga u zajednici.</w:t>
      </w:r>
    </w:p>
    <w:p w14:paraId="04DA06A8" w14:textId="0D3A27E0" w:rsidR="009B4108" w:rsidRDefault="009B410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B4108">
        <w:rPr>
          <w:rFonts w:ascii="Arial" w:eastAsia="Calibri" w:hAnsi="Arial" w:cs="Arial"/>
          <w:sz w:val="22"/>
          <w:szCs w:val="22"/>
          <w:lang w:val="hr-HR"/>
        </w:rPr>
        <w:t>Provođenjem projektnih aktivnosti odnosno osiguravanjem usluga mobilnog tima, socijalnog mentora, te aktivnosti individualnog rada s djecom s teškoćama u razvoju, osobama s invaliditetom i starijima, korisnici dobivaju mogućnost ravnopravnog sudjelovanja s ostalim članovima zajednice u svim važnim društvenim segmentima.</w:t>
      </w:r>
    </w:p>
    <w:p w14:paraId="1435ED9B" w14:textId="60DD5957" w:rsidR="009B4108" w:rsidRPr="009B4108" w:rsidRDefault="009B4108" w:rsidP="009B4108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J</w:t>
      </w:r>
      <w:r w:rsidRPr="009B4108">
        <w:rPr>
          <w:rFonts w:ascii="Arial" w:eastAsia="Calibri" w:hAnsi="Arial" w:cs="Arial"/>
          <w:sz w:val="22"/>
          <w:szCs w:val="22"/>
          <w:lang w:val="hr-HR"/>
        </w:rPr>
        <w:t>avnom kampanjom koja će se provesti u sklopu projekta osvijestiti će se šira javnost i ukazati na važnost prevencije institucionalizacije u društvu, važnost poznavanja potreba ciljnih skupina te na važnost integracije osoba s invaliditetom u društvo.</w:t>
      </w:r>
    </w:p>
    <w:p w14:paraId="0B186A63" w14:textId="4E15116D" w:rsidR="009B4108" w:rsidRPr="004C05C7" w:rsidRDefault="009B4108" w:rsidP="009B4108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B4108">
        <w:rPr>
          <w:rFonts w:ascii="Arial" w:eastAsia="Calibri" w:hAnsi="Arial" w:cs="Arial"/>
          <w:sz w:val="22"/>
          <w:szCs w:val="22"/>
          <w:lang w:val="hr-HR"/>
        </w:rPr>
        <w:t>Kroz edukacije, stručnjaci koji rade s pripadnicima ciljanih skupina steći će nova, te nadopuniti postojeća znanja o pružanju socijalnih usluga.</w:t>
      </w:r>
    </w:p>
    <w:p w14:paraId="6DE1FD39" w14:textId="77777777" w:rsidR="004C05C7" w:rsidRPr="004C05C7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Projekt je financiran u iznosu od 85% iz EU izvora.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11BC59EA" w14:textId="77777777" w:rsidR="004C05C7" w:rsidRPr="004C05C7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1D21032" w14:textId="77777777" w:rsidR="004C05C7" w:rsidRPr="004C05C7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Projekt: EU projekt – Resistance</w:t>
      </w:r>
    </w:p>
    <w:p w14:paraId="5FBE24E1" w14:textId="77777777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7A26B5">
        <w:rPr>
          <w:rFonts w:ascii="Arial" w:eastAsia="Calibri" w:hAnsi="Arial" w:cs="Arial"/>
          <w:sz w:val="22"/>
          <w:szCs w:val="22"/>
          <w:lang w:val="hr-HR"/>
        </w:rPr>
        <w:t>Cilj projekta RESISTANCE je podijeliti stečena znanja i iskustva o morskom, obalnom i riječnom okolišu kapitaliziranjem rezultata Interreg projekata ECOMAP, ECOSS, Net4mPLASTIC, SOUNDSCAPE, DORY, SASPAS i ML-REPAIR.</w:t>
      </w:r>
    </w:p>
    <w:p w14:paraId="4FF2F399" w14:textId="77777777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7A26B5">
        <w:rPr>
          <w:rFonts w:ascii="Arial" w:eastAsia="Calibri" w:hAnsi="Arial" w:cs="Arial"/>
          <w:sz w:val="22"/>
          <w:szCs w:val="22"/>
          <w:lang w:val="hr-HR"/>
        </w:rPr>
        <w:lastRenderedPageBreak/>
        <w:t>Projekt će podržati razvoj Smjernica i metodologija pomorskog prostornog planiranja na lokalnoj i regionalnoj razini te povećati ekološku svijest lokalnih i regionalnih zajednica, nevladinih organizacija, opće javnosti na području cijele Jadransko-Jonske regije.</w:t>
      </w:r>
    </w:p>
    <w:p w14:paraId="36FEF4B5" w14:textId="3A85E22C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Općina Podstrana je vodeći partner i  koordinator projekta te imamo osigurana sredstva u iznosu od </w:t>
      </w:r>
      <w:r>
        <w:rPr>
          <w:rFonts w:ascii="Arial" w:eastAsia="Calibri" w:hAnsi="Arial" w:cs="Arial"/>
          <w:sz w:val="22"/>
          <w:szCs w:val="22"/>
          <w:lang w:val="hr-HR"/>
        </w:rPr>
        <w:t>60.721 Eur u 2023. godini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, od čega je sufinanciranje iz Europskog fonda za regionalni razvoj </w:t>
      </w:r>
      <w:r>
        <w:rPr>
          <w:rFonts w:ascii="Arial" w:eastAsia="Calibri" w:hAnsi="Arial" w:cs="Arial"/>
          <w:sz w:val="22"/>
          <w:szCs w:val="22"/>
          <w:lang w:val="hr-HR"/>
        </w:rPr>
        <w:t>51.696 Eur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 tj. 85%.</w:t>
      </w:r>
    </w:p>
    <w:p w14:paraId="52C530D6" w14:textId="1064A21D" w:rsidR="004C05C7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7A26B5">
        <w:rPr>
          <w:rFonts w:ascii="Arial" w:eastAsia="Calibri" w:hAnsi="Arial" w:cs="Arial"/>
          <w:sz w:val="22"/>
          <w:szCs w:val="22"/>
          <w:lang w:val="hr-HR"/>
        </w:rPr>
        <w:t>Osigurane su plaće za 2 djelatnika, uredske troškove, organizaciju konferencije u Općini Podstrana, promociju projekta i Općine Podstrana na različitim međunarodnim konferencijama, organizaciju eko akcija čišćenja podmorja, stručnu izradu smjernica i primjera dobrih praksi za ekološki prihvatljivo upravljanje obalnim područjem uzimajući u obzir različite ekološke aspekte: kemijsko i mikrobiološko onečišćenje, mikroplastiku i sl.</w:t>
      </w:r>
    </w:p>
    <w:p w14:paraId="7FABE99B" w14:textId="77777777" w:rsidR="007A26B5" w:rsidRPr="004C05C7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EF6073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Program 1011: Organiziranje i provođenje zaštite i spašavanja</w:t>
      </w:r>
    </w:p>
    <w:p w14:paraId="07541AC9" w14:textId="7AD0AB7F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Ovim programom su obuhvaćene aktivnosti financiranja redovne djelatnosti </w:t>
      </w: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DVD Podstrana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. Osiguran iznos za ovu aktivnost je </w:t>
      </w:r>
      <w:r w:rsidR="007A26B5">
        <w:rPr>
          <w:rFonts w:ascii="Arial" w:eastAsia="Calibri" w:hAnsi="Arial" w:cs="Arial"/>
          <w:sz w:val="22"/>
          <w:szCs w:val="22"/>
          <w:lang w:val="hr-HR"/>
        </w:rPr>
        <w:t>102.860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kojima se financira redovna vatroga</w:t>
      </w:r>
      <w:r w:rsidR="005055A7">
        <w:rPr>
          <w:rFonts w:ascii="Arial" w:eastAsia="Calibri" w:hAnsi="Arial" w:cs="Arial"/>
          <w:sz w:val="22"/>
          <w:szCs w:val="22"/>
          <w:lang w:val="hr-HR"/>
        </w:rPr>
        <w:t>sna djelatnost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te otplata cisterne za potrebe prijevoza vode za Gornju Podstranu i protupožarnu zaštitu.</w:t>
      </w:r>
    </w:p>
    <w:p w14:paraId="4E9EFEC6" w14:textId="288D1A66" w:rsidR="00AF7DBB" w:rsidRPr="00AF7DBB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F7DBB">
        <w:rPr>
          <w:rFonts w:ascii="Arial" w:eastAsia="Calibri" w:hAnsi="Arial" w:cs="Arial"/>
          <w:sz w:val="22"/>
          <w:szCs w:val="22"/>
          <w:lang w:val="hr-HR"/>
        </w:rPr>
        <w:t>Cilj programa: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AF7DBB">
        <w:rPr>
          <w:rFonts w:ascii="Arial" w:eastAsia="Calibri" w:hAnsi="Arial" w:cs="Arial"/>
          <w:sz w:val="22"/>
          <w:szCs w:val="22"/>
          <w:lang w:val="hr-HR"/>
        </w:rPr>
        <w:t xml:space="preserve">Programom se ostvaruju uvjeti za zaštitu imovine i prirode od požara temeljem Zakonu o vatrogastvu i </w:t>
      </w:r>
      <w:r>
        <w:rPr>
          <w:rFonts w:ascii="Arial" w:eastAsia="Calibri" w:hAnsi="Arial" w:cs="Arial"/>
          <w:sz w:val="22"/>
          <w:szCs w:val="22"/>
          <w:lang w:val="hr-HR"/>
        </w:rPr>
        <w:t>općinskog</w:t>
      </w:r>
      <w:r w:rsidRPr="00AF7DBB">
        <w:rPr>
          <w:rFonts w:ascii="Arial" w:eastAsia="Calibri" w:hAnsi="Arial" w:cs="Arial"/>
          <w:sz w:val="22"/>
          <w:szCs w:val="22"/>
          <w:lang w:val="hr-HR"/>
        </w:rPr>
        <w:t xml:space="preserve"> plana zaštite od požara. Program također obuhvaća organizacijske oblike sustava zaštite i spašavanja i djelovanja u slučaju prirodnih i drugih nesreća.</w:t>
      </w:r>
    </w:p>
    <w:p w14:paraId="32501C67" w14:textId="0D8F71F0" w:rsidR="00AF7DBB" w:rsidRPr="004C05C7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F7DBB">
        <w:rPr>
          <w:rFonts w:ascii="Arial" w:eastAsia="Calibri" w:hAnsi="Arial" w:cs="Arial"/>
          <w:sz w:val="22"/>
          <w:szCs w:val="22"/>
          <w:lang w:val="hr-HR"/>
        </w:rPr>
        <w:t>Pokazatelji uspješnosti: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AF7DBB">
        <w:rPr>
          <w:rFonts w:ascii="Arial" w:eastAsia="Calibri" w:hAnsi="Arial" w:cs="Arial"/>
          <w:sz w:val="22"/>
          <w:szCs w:val="22"/>
          <w:lang w:val="hr-HR"/>
        </w:rPr>
        <w:t>Broj osposobljenih članova dobrovoljnih vatrogasnih društava, broj pripadnika postrojbe civilne zaštite, broj operativnih snaga civilne zaštite.</w:t>
      </w:r>
    </w:p>
    <w:p w14:paraId="40944000" w14:textId="6516C8AB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Pomoći prema HGSS-u iznose </w:t>
      </w:r>
      <w:r w:rsidR="007A26B5">
        <w:rPr>
          <w:rFonts w:ascii="Arial" w:eastAsia="Calibri" w:hAnsi="Arial" w:cs="Arial"/>
          <w:sz w:val="22"/>
          <w:szCs w:val="22"/>
          <w:lang w:val="hr-HR"/>
        </w:rPr>
        <w:t>2.654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, a za opremanje postrojbe, održavanje vježbi, edukacija u organizaciji civilne zaštite osigurava se </w:t>
      </w:r>
      <w:r w:rsidR="007A26B5">
        <w:rPr>
          <w:rFonts w:ascii="Arial" w:eastAsia="Calibri" w:hAnsi="Arial" w:cs="Arial"/>
          <w:sz w:val="22"/>
          <w:szCs w:val="22"/>
          <w:lang w:val="hr-HR"/>
        </w:rPr>
        <w:t>8.627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2681592" w14:textId="7417491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Projekt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: 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Razvoj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širokopojasne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infrastrukture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se prenosi iz prošle godine za razvoj brze optičke mreže za širokopojasni pristup internetu na području naše općine. </w:t>
      </w:r>
      <w:r w:rsidR="007A26B5">
        <w:rPr>
          <w:rFonts w:ascii="Arial" w:eastAsia="Calibri" w:hAnsi="Arial" w:cs="Arial"/>
          <w:sz w:val="22"/>
          <w:szCs w:val="22"/>
          <w:lang w:val="hr-HR"/>
        </w:rPr>
        <w:t>Planirani iznos je 1.327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kao participacija u projektu kojeg provodi grad Omiš.</w:t>
      </w:r>
    </w:p>
    <w:p w14:paraId="00D092E2" w14:textId="77777777" w:rsidR="00A6286F" w:rsidRDefault="00A6286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46F431" w14:textId="3D8DB7C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006: UPRAVNI ODJEL ZA PROSTORNO UREĐENJE,</w:t>
      </w:r>
    </w:p>
    <w:p w14:paraId="6312DF61" w14:textId="2E9ECF2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KOMUNALNE POSLOVE I ZAŠTITU OKOLIŠA</w:t>
      </w:r>
    </w:p>
    <w:p w14:paraId="1D7D184E" w14:textId="77777777" w:rsidR="00A07DBD" w:rsidRPr="004C05C7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6107570" w14:textId="114F4C41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Nadležnost ovog Upravnog odjela su izvršenje programa iz područja prostornog uređenja, graditeljstva, komunalnog gospodarstva, izgradnje i održavanju nerazvrstanih cesta, tj. izgradnje i rekonstrukcije cjelokupne komunalne infrastrukture.</w:t>
      </w:r>
    </w:p>
    <w:p w14:paraId="372D026E" w14:textId="68D8303F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Cilj programa je p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rovođenje politike prostornog uređenja radi ujednačavanja uvjeta življenja na cijelom području </w:t>
      </w:r>
      <w:r>
        <w:rPr>
          <w:rFonts w:ascii="Arial" w:eastAsia="Calibri" w:hAnsi="Arial" w:cs="Arial"/>
          <w:sz w:val="22"/>
          <w:szCs w:val="22"/>
          <w:lang w:val="hr-HR"/>
        </w:rPr>
        <w:t>Općine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>, osiguravanje prostora za razvoj gospodarskih aktivnosti te zaštitu prirodnih, tradicionalnih i kulturnih vrijednosti.</w:t>
      </w:r>
    </w:p>
    <w:p w14:paraId="6F167F65" w14:textId="77777777" w:rsidR="00565BE2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Program obuhvaća aktivnosti izrade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općih i pojedinačnih akata iz djelatnosti prostornog planiranja, održavanja GIS-a, evidentiranje nerazvrstanih cesta i komunalne infrastrukture, proširenje baze obveznika komunalne na</w:t>
      </w:r>
      <w:r>
        <w:rPr>
          <w:rFonts w:ascii="Arial" w:eastAsia="Calibri" w:hAnsi="Arial" w:cs="Arial"/>
          <w:sz w:val="22"/>
          <w:szCs w:val="22"/>
          <w:lang w:val="hr-HR"/>
        </w:rPr>
        <w:t>knade, naknade za uređenje voda..</w:t>
      </w:r>
    </w:p>
    <w:p w14:paraId="2A2D1C73" w14:textId="24416309" w:rsidR="007A26B5" w:rsidRPr="004C05C7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Pokazatelji uspješnosti je 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pokrivenost područja </w:t>
      </w:r>
      <w:r>
        <w:rPr>
          <w:rFonts w:ascii="Arial" w:eastAsia="Calibri" w:hAnsi="Arial" w:cs="Arial"/>
          <w:sz w:val="22"/>
          <w:szCs w:val="22"/>
          <w:lang w:val="hr-HR"/>
        </w:rPr>
        <w:t>Općine Podstrana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prostornim planom, broj izrađenih i usvojenih UPU-a, broj izmjena UPU-a, broj legalizacija.</w:t>
      </w:r>
    </w:p>
    <w:p w14:paraId="2076246E" w14:textId="4E19A82B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7A26B5">
        <w:rPr>
          <w:rFonts w:ascii="Arial" w:eastAsia="Calibri" w:hAnsi="Arial" w:cs="Arial"/>
          <w:sz w:val="22"/>
          <w:szCs w:val="22"/>
          <w:lang w:val="hr-HR"/>
        </w:rPr>
        <w:t>7.499.104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F60422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Ove aktivnosti i projekti su detaljnije raščlanjene u Planu izgradnje i održavanje komunalne infrastrukture.</w:t>
      </w:r>
    </w:p>
    <w:p w14:paraId="5AD7138E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Pregled programa i pripadajućih aktivnosti, tj. projekata u ovom razdjelu sa pripadajućim iznosima osiguranih za njihovu provedbu: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71"/>
        <w:gridCol w:w="1655"/>
      </w:tblGrid>
      <w:tr w:rsidR="004C05C7" w:rsidRPr="004C05C7" w14:paraId="25A2827D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FF9936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PROGRAM: JAVNA UPRAVA I ADMINISTRACIJA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589C0" w14:textId="5197B2BA" w:rsidR="004C05C7" w:rsidRPr="004C05C7" w:rsidRDefault="00565BE2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258.411 Eur</w:t>
            </w:r>
          </w:p>
        </w:tc>
      </w:tr>
      <w:tr w:rsidR="004C05C7" w:rsidRPr="004C05C7" w14:paraId="6DE1FF3B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B313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CC8D" w14:textId="65205C68" w:rsidR="004C05C7" w:rsidRPr="004C05C7" w:rsidRDefault="00565BE2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258.411 Eur</w:t>
            </w:r>
          </w:p>
        </w:tc>
      </w:tr>
      <w:tr w:rsidR="00142A48" w:rsidRPr="004C05C7" w14:paraId="23B3B22B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78BA" w14:textId="3FC6F41D" w:rsidR="00142A48" w:rsidRPr="004C05C7" w:rsidRDefault="00142A4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3157" w14:textId="77777777" w:rsidR="00142A48" w:rsidRDefault="00142A48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4C05C7" w14:paraId="47008E6F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097B9D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PROGRAM: RAZVOJ I UPRAVLJANJE SUSTAVA VODOOPSKRBE, ODVODNJE I ZAŠTITE VODA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7EF35" w14:textId="20206232" w:rsidR="004C05C7" w:rsidRPr="004C05C7" w:rsidRDefault="00565BE2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227.620 Eur</w:t>
            </w:r>
          </w:p>
        </w:tc>
      </w:tr>
      <w:tr w:rsidR="004C05C7" w:rsidRPr="004C05C7" w14:paraId="712D97B0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0B6B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sustava odvodnje oborinskih voda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291" w14:textId="3DFE1EA0" w:rsidR="004C05C7" w:rsidRPr="004C05C7" w:rsidRDefault="00565BE2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94.897 Eur</w:t>
            </w:r>
          </w:p>
        </w:tc>
      </w:tr>
      <w:tr w:rsidR="00142A48" w:rsidRPr="004C05C7" w14:paraId="511631C5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EBBB6" w14:textId="695DD973" w:rsidR="00142A48" w:rsidRPr="000C092F" w:rsidRDefault="00142A48" w:rsidP="00142A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>:</w:t>
            </w:r>
            <w:r w:rsid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Dogradnja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sustava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oborinske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odvodnje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utječe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okoliša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poboljšanje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prometne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sigurnosti</w:t>
            </w:r>
            <w:proofErr w:type="spellEnd"/>
          </w:p>
          <w:p w14:paraId="6C23F661" w14:textId="77777777" w:rsidR="00142A48" w:rsidRPr="000C092F" w:rsidRDefault="00142A48" w:rsidP="00142A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AFC918" w14:textId="77777777" w:rsidR="00142A48" w:rsidRPr="000C092F" w:rsidRDefault="00142A48" w:rsidP="00142A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BEEB9F" w14:textId="506BEEF6" w:rsidR="00142A48" w:rsidRPr="000C092F" w:rsidRDefault="00142A48" w:rsidP="000C09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intervencija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šteta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infrastrukturi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prethodno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razdoblje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61FA78" w14:textId="77777777" w:rsidR="00142A48" w:rsidRPr="000C092F" w:rsidRDefault="00142A48" w:rsidP="00142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740A3F" w14:textId="0B5F0575" w:rsidR="00142A48" w:rsidRPr="000C092F" w:rsidRDefault="00142A48" w:rsidP="000C09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>:</w:t>
            </w:r>
            <w:r w:rsid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092F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C092F">
              <w:rPr>
                <w:rFonts w:ascii="Arial" w:hAnsi="Arial" w:cs="Arial"/>
                <w:sz w:val="22"/>
                <w:szCs w:val="22"/>
              </w:rPr>
              <w:t>s</w:t>
            </w:r>
            <w:r w:rsidRPr="000C092F">
              <w:rPr>
                <w:rFonts w:ascii="Arial" w:hAnsi="Arial" w:cs="Arial"/>
                <w:sz w:val="22"/>
                <w:szCs w:val="22"/>
              </w:rPr>
              <w:t>redstva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ukupnom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92F" w:rsidRPr="000C092F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94.897 </w:t>
            </w:r>
            <w:proofErr w:type="spellStart"/>
            <w:r w:rsidR="000C092F" w:rsidRPr="000C092F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="000C092F" w:rsidRPr="000C092F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za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mreže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slijedećim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552A4" w:rsidRPr="000C092F">
              <w:rPr>
                <w:rFonts w:ascii="Arial" w:hAnsi="Arial" w:cs="Arial"/>
                <w:sz w:val="22"/>
                <w:szCs w:val="22"/>
              </w:rPr>
              <w:t>ulicama</w:t>
            </w:r>
            <w:proofErr w:type="spellEnd"/>
            <w:r w:rsidR="005552A4" w:rsidRPr="000C092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66587E" w14:textId="4CCD3CE9" w:rsidR="005552A4" w:rsidRPr="000C092F" w:rsidRDefault="005552A4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Kašićeva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te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Kaline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  27.000,00 EUR</w:t>
            </w:r>
          </w:p>
          <w:p w14:paraId="45848D7E" w14:textId="3CA5E85E" w:rsidR="005552A4" w:rsidRPr="000C092F" w:rsidRDefault="005552A4" w:rsidP="00142A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92F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Mosorska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Pišćine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                  67.897,00 EUR</w:t>
            </w:r>
          </w:p>
          <w:p w14:paraId="0AF0F35E" w14:textId="3B7F3A97" w:rsidR="005552A4" w:rsidRPr="000C092F" w:rsidRDefault="005552A4" w:rsidP="00142A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F6098B" w14:textId="77777777" w:rsidR="00142A48" w:rsidRPr="000C092F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E6AC" w14:textId="77777777" w:rsidR="00142A48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42A48" w:rsidRPr="004C05C7" w14:paraId="50266225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343E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vodovodne mreže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31B8" w14:textId="4ED77973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132.723 Eur</w:t>
            </w:r>
          </w:p>
        </w:tc>
      </w:tr>
      <w:tr w:rsidR="00142A48" w:rsidRPr="004C05C7" w14:paraId="29E4391E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EBE7" w14:textId="715202C4" w:rsidR="00142A48" w:rsidRPr="007F1694" w:rsidRDefault="00142A48" w:rsidP="00142A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>:</w:t>
            </w:r>
            <w:r w:rsid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F1694">
              <w:rPr>
                <w:rFonts w:ascii="Arial" w:hAnsi="Arial" w:cs="Arial"/>
                <w:sz w:val="22"/>
                <w:szCs w:val="22"/>
              </w:rPr>
              <w:t>s</w:t>
            </w:r>
            <w:r w:rsidRPr="007F1694">
              <w:rPr>
                <w:rFonts w:ascii="Arial" w:hAnsi="Arial" w:cs="Arial"/>
                <w:sz w:val="22"/>
                <w:szCs w:val="22"/>
              </w:rPr>
              <w:t>kladno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Zakonu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komunalnom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gospodarstvu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sufinanciranje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projektima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komunalnog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poduzeća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“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Vodovod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kanalizacija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d.o.o.Split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utječe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okoliša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poboljšanje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rada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gospodarskih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subjekata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A6BF9B" w14:textId="56E2B29C" w:rsidR="00142A48" w:rsidRPr="007F1694" w:rsidRDefault="00142A48" w:rsidP="00142A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116A1C" w14:textId="77777777" w:rsidR="00142A48" w:rsidRPr="007F1694" w:rsidRDefault="00142A48" w:rsidP="00142A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002EBB" w14:textId="6D099B50" w:rsidR="00142A48" w:rsidRPr="007F1694" w:rsidRDefault="00142A48" w:rsidP="007F16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7F1694">
              <w:rPr>
                <w:rFonts w:ascii="Arial" w:hAnsi="Arial" w:cs="Arial"/>
                <w:sz w:val="22"/>
                <w:szCs w:val="22"/>
              </w:rPr>
              <w:t>d</w:t>
            </w:r>
            <w:r w:rsidRPr="007F1694">
              <w:rPr>
                <w:rFonts w:ascii="Arial" w:hAnsi="Arial" w:cs="Arial"/>
                <w:sz w:val="22"/>
                <w:szCs w:val="22"/>
              </w:rPr>
              <w:t>ogradnja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vodovodne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odvodnje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postotak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korisnika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priključenih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vodovodnu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kanalizacijsku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mrežu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0DBC10" w14:textId="77777777" w:rsidR="00142A48" w:rsidRPr="007F1694" w:rsidRDefault="00142A48" w:rsidP="00142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F7135" w14:textId="28820008" w:rsidR="00142A48" w:rsidRPr="007F1694" w:rsidRDefault="00142A48" w:rsidP="007F16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>:</w:t>
            </w:r>
            <w:r w:rsid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1694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ukupnom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1694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7F16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1694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132.723,00 </w:t>
            </w:r>
            <w:r w:rsidRPr="007F1694">
              <w:rPr>
                <w:rFonts w:ascii="Arial" w:hAnsi="Arial" w:cs="Arial"/>
                <w:sz w:val="22"/>
                <w:szCs w:val="22"/>
              </w:rPr>
              <w:t>EUR</w:t>
            </w:r>
            <w:r w:rsidR="005552A4" w:rsidRPr="007F1694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5552A4" w:rsidRPr="007F1694"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 w:rsidR="005552A4" w:rsidRPr="007F1694">
              <w:rPr>
                <w:rFonts w:ascii="Arial" w:hAnsi="Arial" w:cs="Arial"/>
                <w:sz w:val="22"/>
                <w:szCs w:val="22"/>
              </w:rPr>
              <w:t xml:space="preserve"> I. faze </w:t>
            </w:r>
            <w:proofErr w:type="spellStart"/>
            <w:r w:rsidR="005552A4" w:rsidRPr="007F1694">
              <w:rPr>
                <w:rFonts w:ascii="Arial" w:hAnsi="Arial" w:cs="Arial"/>
                <w:sz w:val="22"/>
                <w:szCs w:val="22"/>
              </w:rPr>
              <w:t>vodoopskrbe</w:t>
            </w:r>
            <w:proofErr w:type="spellEnd"/>
            <w:r w:rsidR="005552A4" w:rsidRPr="007F1694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="005552A4" w:rsidRPr="007F1694">
              <w:rPr>
                <w:rFonts w:ascii="Arial" w:hAnsi="Arial" w:cs="Arial"/>
                <w:sz w:val="22"/>
                <w:szCs w:val="22"/>
              </w:rPr>
              <w:t>ulici</w:t>
            </w:r>
            <w:proofErr w:type="spellEnd"/>
            <w:r w:rsidR="005552A4" w:rsidRPr="007F1694">
              <w:rPr>
                <w:rFonts w:ascii="Arial" w:hAnsi="Arial" w:cs="Arial"/>
                <w:sz w:val="22"/>
                <w:szCs w:val="22"/>
              </w:rPr>
              <w:t xml:space="preserve"> Don Petra Cara.</w:t>
            </w:r>
          </w:p>
          <w:p w14:paraId="145348BA" w14:textId="77777777" w:rsidR="00142A48" w:rsidRPr="007F1694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C695" w14:textId="77777777" w:rsidR="00142A48" w:rsidRPr="007F1694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42A48" w:rsidRPr="004C05C7" w14:paraId="6679AB8D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FFA7C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PROGRAM: PROSTORNO UREĐENJE I UNAPREĐENJE STANOVANJA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89471C" w14:textId="06628C13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2.443.427 Eur</w:t>
            </w:r>
          </w:p>
        </w:tc>
      </w:tr>
      <w:tr w:rsidR="00D0630D" w:rsidRPr="004C05C7" w14:paraId="764951FA" w14:textId="77777777" w:rsidTr="00D0630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4D89F" w14:textId="2E08FE06" w:rsidR="00D0630D" w:rsidRPr="000C092F" w:rsidRDefault="00D0630D" w:rsidP="000C09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lastRenderedPageBreak/>
              <w:t>Cilj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>:</w:t>
            </w:r>
            <w:r w:rsidR="000C092F"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Provođenje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politike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radi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ujednačavanja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življenja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cijelom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području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Podstrana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osiguravanje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gospodarskih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održivi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prirodnih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tradicionalnih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vrijednosti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C72275" w14:textId="445FCA70" w:rsidR="00D0630D" w:rsidRPr="000C092F" w:rsidRDefault="00D0630D" w:rsidP="007F1694">
            <w:pPr>
              <w:rPr>
                <w:rFonts w:ascii="Arial" w:hAnsi="Arial" w:cs="Arial"/>
                <w:sz w:val="22"/>
                <w:szCs w:val="22"/>
              </w:rPr>
            </w:pPr>
            <w:r w:rsidRPr="000C092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obuhvaća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općih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pojedinačnih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akata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djelatnosti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planiranja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objekata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cesta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javne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namjene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ostvarivanje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osnovne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škole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baze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obveznika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kuće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odmor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 </w:t>
            </w:r>
          </w:p>
          <w:p w14:paraId="59819C0C" w14:textId="77777777" w:rsidR="00D0630D" w:rsidRPr="000C092F" w:rsidRDefault="00D0630D" w:rsidP="005552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A1F17" w14:textId="2A05E760" w:rsidR="00D0630D" w:rsidRPr="000C092F" w:rsidRDefault="00D0630D" w:rsidP="000C09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pokrivenost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područja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Podstrana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planskom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dokumentacijom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postotak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izgrađenosti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planiranih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projekata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planirane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rokove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D0680" w:rsidRPr="000C092F">
              <w:rPr>
                <w:rFonts w:ascii="Arial" w:hAnsi="Arial" w:cs="Arial"/>
                <w:sz w:val="22"/>
                <w:szCs w:val="22"/>
              </w:rPr>
              <w:t>dovršetka</w:t>
            </w:r>
            <w:proofErr w:type="spellEnd"/>
            <w:r w:rsidR="003D0680" w:rsidRPr="000C09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E7A1ED" w14:textId="77777777" w:rsidR="00D0630D" w:rsidRPr="000C092F" w:rsidRDefault="00D0630D" w:rsidP="005552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02DAA" w14:textId="7FD325DB" w:rsidR="00D0630D" w:rsidRPr="000C092F" w:rsidRDefault="00D0630D" w:rsidP="000C09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="000C092F" w:rsidRPr="000C092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C092F">
              <w:rPr>
                <w:rFonts w:ascii="Arial" w:hAnsi="Arial" w:cs="Arial"/>
                <w:sz w:val="22"/>
                <w:szCs w:val="22"/>
              </w:rPr>
              <w:t xml:space="preserve">Za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</w:p>
          <w:p w14:paraId="7AAA6749" w14:textId="77777777" w:rsidR="00D0630D" w:rsidRDefault="00D063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42A48" w:rsidRPr="004C05C7" w14:paraId="691C110D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AC5" w14:textId="64840AE8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Izrada prostorno planske dokumentacije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ACA5" w14:textId="3987598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55.744 Eur</w:t>
            </w:r>
          </w:p>
        </w:tc>
      </w:tr>
      <w:tr w:rsidR="003D0680" w:rsidRPr="004C05C7" w14:paraId="63FE3C89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564" w14:textId="3C6C748A" w:rsidR="003D0680" w:rsidRPr="004C05C7" w:rsidRDefault="003D0680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oviru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ovog projekta sredstva su planirana za donošenje provedbenih akata sukladno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postoječem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prostornom planu Općine Podstrana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59D7" w14:textId="77777777" w:rsidR="003D0680" w:rsidRDefault="003D0680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42A48" w:rsidRPr="004C05C7" w14:paraId="69F71E1A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B20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Rekonstrukcija javne rasvjete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A10D" w14:textId="7687AE48" w:rsidR="00142A48" w:rsidRPr="004C05C7" w:rsidRDefault="00DC185F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495.857</w:t>
            </w:r>
            <w:r w:rsidR="00142A48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142A48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D0680" w:rsidRPr="004C05C7" w14:paraId="667F0275" w14:textId="77777777" w:rsidTr="003D068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7CC9" w14:textId="2A7C0536" w:rsidR="003D0680" w:rsidRDefault="003D0680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Obuvaća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zamjenu i dogradnju javne rasvjete u ulicama navedenim u programu građenja za 2023. godinu</w:t>
            </w:r>
          </w:p>
        </w:tc>
      </w:tr>
      <w:tr w:rsidR="00142A48" w:rsidRPr="004C05C7" w14:paraId="024475D0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B5FE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Groblje Ban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B659" w14:textId="3781C061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221.647 Eur</w:t>
            </w:r>
          </w:p>
        </w:tc>
      </w:tr>
      <w:tr w:rsidR="003D0680" w:rsidRPr="004C05C7" w14:paraId="7DABB53E" w14:textId="77777777" w:rsidTr="003D068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8601" w14:textId="2C846734" w:rsidR="003D0680" w:rsidRDefault="003D0680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Sredtva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planirana za izgradnju natkrivenog prostora za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ispračaj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142A48" w:rsidRPr="004C05C7" w14:paraId="0D8AF4BB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5B3F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Osnovna škola "Sveti Martin"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3996" w14:textId="27F8FE91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505.674 Eur</w:t>
            </w:r>
          </w:p>
        </w:tc>
      </w:tr>
      <w:tr w:rsidR="003D0680" w:rsidRPr="004C05C7" w14:paraId="7CD4BC8E" w14:textId="77777777" w:rsidTr="003D068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1B37" w14:textId="3D46F67D" w:rsidR="003D0680" w:rsidRDefault="003D0680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U 2023. godini planira se izraditi projektnu dokumentaciju, te izvršiti otkup zemljišta za predmetnu lokaciju.</w:t>
            </w:r>
          </w:p>
        </w:tc>
      </w:tr>
      <w:tr w:rsidR="00142A48" w:rsidRPr="004C05C7" w14:paraId="5B43AA80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571E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Geodetski elaborati nerazvrstanih cesta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E1AE" w14:textId="3084C799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19.908 Eur</w:t>
            </w:r>
          </w:p>
        </w:tc>
      </w:tr>
      <w:tr w:rsidR="008A202D" w:rsidRPr="004C05C7" w14:paraId="7385848D" w14:textId="77777777" w:rsidTr="008A202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2E06" w14:textId="34437647" w:rsidR="008A202D" w:rsidRDefault="008A202D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izradi dokumentacije za rekonstrukciju nerazvrstanih cesta</w:t>
            </w:r>
          </w:p>
        </w:tc>
      </w:tr>
      <w:tr w:rsidR="00142A48" w:rsidRPr="004C05C7" w14:paraId="53DA9712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C59E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SC Miljevac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256D" w14:textId="2DD57FA0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66.361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8A202D" w:rsidRPr="004C05C7" w14:paraId="0EF608A6" w14:textId="77777777" w:rsidTr="008A202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2602" w14:textId="23D23E52" w:rsidR="008A202D" w:rsidRDefault="008A202D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 je početak izgradnje sukladno planskoj dokumentaciji</w:t>
            </w:r>
          </w:p>
        </w:tc>
      </w:tr>
      <w:tr w:rsidR="00142A48" w:rsidRPr="004C05C7" w14:paraId="26D6B472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6A87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Stambeno zbrinjavanje branitelja iz DR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807B" w14:textId="30D373DC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199.084 Eur</w:t>
            </w:r>
          </w:p>
        </w:tc>
      </w:tr>
      <w:tr w:rsidR="008A202D" w:rsidRPr="004C05C7" w14:paraId="136E3C27" w14:textId="77777777" w:rsidTr="008A202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B1AE" w14:textId="185CB1C1" w:rsidR="008A202D" w:rsidRDefault="008A202D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Otkup zemljišta za planiranu izgradnju stanova  </w:t>
            </w:r>
          </w:p>
        </w:tc>
      </w:tr>
      <w:tr w:rsidR="00142A48" w:rsidRPr="004C05C7" w14:paraId="7F95DFDF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3104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protupožarnog puta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163" w14:textId="2244F3B0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13.272 Eur</w:t>
            </w:r>
          </w:p>
        </w:tc>
      </w:tr>
      <w:tr w:rsidR="008A202D" w:rsidRPr="004C05C7" w14:paraId="1ADD85BB" w14:textId="77777777" w:rsidTr="008A202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92A4" w14:textId="4E4B79A7" w:rsidR="008A202D" w:rsidRDefault="008A202D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Redovna godišnja aktivnost uklanjanje raslinja te sanacija odrona s ciljem održavanja prohodnosti protupožarnih puteva</w:t>
            </w:r>
          </w:p>
        </w:tc>
      </w:tr>
      <w:tr w:rsidR="00142A48" w:rsidRPr="004C05C7" w14:paraId="15A133D0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7735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APS centra Petrićevo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636" w14:textId="2815E8F1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19.908 Eur</w:t>
            </w:r>
          </w:p>
        </w:tc>
      </w:tr>
      <w:tr w:rsidR="008A202D" w:rsidRPr="004C05C7" w14:paraId="6449D079" w14:textId="77777777" w:rsidTr="008A202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1BA8" w14:textId="5C5DC1EF" w:rsidR="008A202D" w:rsidRDefault="008A202D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Izrada projektne dokumentacije za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ishodovanje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građevinske dozvole</w:t>
            </w:r>
          </w:p>
        </w:tc>
      </w:tr>
      <w:tr w:rsidR="00142A48" w:rsidRPr="004C05C7" w14:paraId="00D69612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5CE5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dječjih igrališta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F16" w14:textId="070AC66A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199.084 Eur</w:t>
            </w:r>
          </w:p>
        </w:tc>
      </w:tr>
      <w:tr w:rsidR="008A202D" w:rsidRPr="004C05C7" w14:paraId="4057F639" w14:textId="77777777" w:rsidTr="008A202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A717" w14:textId="337504B4" w:rsidR="008A202D" w:rsidRDefault="008A202D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Planira se izgradnja dodatnih dječjih igrališta na prikladnim lokacijama</w:t>
            </w:r>
          </w:p>
        </w:tc>
      </w:tr>
      <w:tr w:rsidR="00142A48" w:rsidRPr="004C05C7" w14:paraId="5CA0CC66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5898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Sanacija pješačke i biciklističke staze na obalnom području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82E1" w14:textId="4B5B43D2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676.886 Eur</w:t>
            </w:r>
          </w:p>
        </w:tc>
      </w:tr>
      <w:tr w:rsidR="008A202D" w:rsidRPr="004C05C7" w14:paraId="2E06AA5F" w14:textId="77777777" w:rsidTr="008A202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CF6F" w14:textId="6C70FFC3" w:rsidR="008A202D" w:rsidRDefault="008A202D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Nastavak izgradnje započete u 2022. godini</w:t>
            </w:r>
            <w:r w:rsidR="00F92D98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s ciljem povezivanja obalne šetnice </w:t>
            </w:r>
          </w:p>
        </w:tc>
      </w:tr>
      <w:tr w:rsidR="00142A48" w:rsidRPr="004C05C7" w14:paraId="23A047B9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CE5D04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PROGRAM: RAZVOJ I SIGURNOST PROMETA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D334E0" w14:textId="38BBA374" w:rsidR="00142A48" w:rsidRPr="004C05C7" w:rsidRDefault="00FF5AD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F5AD6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2.615.568 </w:t>
            </w:r>
            <w:proofErr w:type="spellStart"/>
            <w:r w:rsidR="00142A48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142A48" w:rsidRPr="004C05C7" w14:paraId="5AB76B65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4F95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i rekonstrukcija ulica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CFE" w14:textId="17089F97" w:rsidR="00142A48" w:rsidRPr="004C05C7" w:rsidRDefault="00FF5AD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F5AD6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2.595.660 </w:t>
            </w:r>
            <w:proofErr w:type="spellStart"/>
            <w:r w:rsidR="00142A48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1742C" w:rsidRPr="002516BE" w14:paraId="1348E00E" w14:textId="77777777" w:rsidTr="0031742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E92A" w14:textId="299BCC46" w:rsidR="0031742C" w:rsidRDefault="0031742C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obuhva</w:t>
            </w:r>
            <w:r w:rsidR="000C092F">
              <w:rPr>
                <w:rFonts w:ascii="Arial" w:eastAsia="Calibri" w:hAnsi="Arial" w:cs="Arial"/>
                <w:sz w:val="22"/>
                <w:szCs w:val="22"/>
                <w:lang w:val="hr-HR"/>
              </w:rPr>
              <w:t>ć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aju projektnu dokumentaciju, otkup zemljišta te radove u svrhu proširenja postoje</w:t>
            </w:r>
            <w:r w:rsidR="00DC185F">
              <w:rPr>
                <w:rFonts w:ascii="Arial" w:eastAsia="Calibri" w:hAnsi="Arial" w:cs="Arial"/>
                <w:sz w:val="22"/>
                <w:szCs w:val="22"/>
                <w:lang w:val="hr-HR"/>
              </w:rPr>
              <w:t>ć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ih ulica. Iznosi za pojedine zahvate prikazani su u programu izgradnje za 2023. godinu.</w:t>
            </w:r>
          </w:p>
        </w:tc>
      </w:tr>
      <w:tr w:rsidR="00142A48" w:rsidRPr="004C05C7" w14:paraId="4E4F652C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AB3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Južni nogostup uz D8 - kod HC Lav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8C48" w14:textId="0B224D7B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19.908 Eur</w:t>
            </w:r>
          </w:p>
        </w:tc>
      </w:tr>
      <w:tr w:rsidR="0031742C" w:rsidRPr="002516BE" w14:paraId="0570AF77" w14:textId="77777777" w:rsidTr="0031742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A5A8E" w14:textId="1579B562" w:rsidR="0031742C" w:rsidRDefault="0031742C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nogostupa, radi povećane sigurnosti pješaka na predmetnoj dionici.</w:t>
            </w:r>
          </w:p>
        </w:tc>
      </w:tr>
      <w:tr w:rsidR="00142A48" w:rsidRPr="004C05C7" w14:paraId="502ECAFD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6E9199B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PROGRAM: ODRŽAVANJE KOMUNALNE INFRASTRUKTURE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7883A3B" w14:textId="36DACCEA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828.190 Eur</w:t>
            </w:r>
          </w:p>
        </w:tc>
      </w:tr>
      <w:tr w:rsidR="00B173AE" w:rsidRPr="002516BE" w14:paraId="14088A64" w14:textId="77777777" w:rsidTr="000C092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D806" w14:textId="7A8467D5" w:rsidR="00B173AE" w:rsidRPr="000C092F" w:rsidRDefault="00B173AE" w:rsidP="00B173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="000C092F" w:rsidRPr="000C092F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0C092F" w:rsidRPr="000C092F">
              <w:rPr>
                <w:rFonts w:ascii="Arial" w:hAnsi="Arial" w:cs="Arial"/>
                <w:sz w:val="22"/>
                <w:szCs w:val="22"/>
              </w:rPr>
              <w:t>s</w:t>
            </w:r>
            <w:r w:rsidRPr="000C092F">
              <w:rPr>
                <w:rFonts w:ascii="Arial" w:hAnsi="Arial" w:cs="Arial"/>
                <w:sz w:val="22"/>
                <w:szCs w:val="22"/>
              </w:rPr>
              <w:t>ukladno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Zakonu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komunalnom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gospodarstvu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Odlukama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Podstrana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osigurava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infrastru</w:t>
            </w:r>
            <w:r w:rsidR="00DD4EB7">
              <w:rPr>
                <w:rFonts w:ascii="Arial" w:hAnsi="Arial" w:cs="Arial"/>
                <w:sz w:val="22"/>
                <w:szCs w:val="22"/>
              </w:rPr>
              <w:t>k</w:t>
            </w:r>
            <w:r w:rsidRPr="000C092F">
              <w:rPr>
                <w:rFonts w:ascii="Arial" w:hAnsi="Arial" w:cs="Arial"/>
                <w:sz w:val="22"/>
                <w:szCs w:val="22"/>
              </w:rPr>
              <w:t>ture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nadležnosti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</w:rPr>
              <w:t>Podstrana</w:t>
            </w:r>
            <w:proofErr w:type="spellEnd"/>
          </w:p>
          <w:p w14:paraId="44F8522B" w14:textId="77777777" w:rsidR="00B173AE" w:rsidRPr="000C092F" w:rsidRDefault="00B173AE" w:rsidP="00B173A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C1D93DC" w14:textId="5A25A42D" w:rsidR="00B173AE" w:rsidRPr="000C092F" w:rsidRDefault="00B173AE" w:rsidP="000C09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Pokazatelji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uspješnosti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:</w:t>
            </w:r>
            <w:r w:rsid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km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održavanih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intervencija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stupovima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 w:rsidRPr="000C092F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</w:t>
            </w:r>
          </w:p>
          <w:p w14:paraId="65BE0788" w14:textId="77777777" w:rsidR="00B173AE" w:rsidRPr="000C092F" w:rsidRDefault="00B173AE" w:rsidP="00B173A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DDE52D0" w14:textId="39736022" w:rsidR="00B173AE" w:rsidRPr="000C092F" w:rsidRDefault="00B173AE" w:rsidP="000C092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Sredstva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realizaciju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programa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  <w:r w:rsid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Planirana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su u </w:t>
            </w:r>
            <w:proofErr w:type="spellStart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>iznosu</w:t>
            </w:r>
            <w:proofErr w:type="spellEnd"/>
            <w:r w:rsidRPr="000C092F">
              <w:rPr>
                <w:rFonts w:ascii="Arial" w:hAnsi="Arial" w:cs="Arial"/>
                <w:sz w:val="22"/>
                <w:szCs w:val="22"/>
                <w:lang w:val="it-IT"/>
              </w:rPr>
              <w:t xml:space="preserve"> od 828.190,00 EUR.</w:t>
            </w:r>
          </w:p>
          <w:p w14:paraId="7EC98537" w14:textId="77777777" w:rsidR="00B173AE" w:rsidRDefault="00B173AE" w:rsidP="00B173AE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142A48" w:rsidRPr="004C05C7" w14:paraId="7E0C00D9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E38C8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nerazvrstanih ulica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2793" w14:textId="299827AC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536.200 Eur</w:t>
            </w:r>
          </w:p>
        </w:tc>
      </w:tr>
      <w:tr w:rsidR="00B173AE" w:rsidRPr="004C05C7" w14:paraId="07D8B172" w14:textId="77777777" w:rsidTr="00B173AE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E0C7" w14:textId="77777777" w:rsidR="00B173AE" w:rsidRPr="00223AF5" w:rsidRDefault="00B173AE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ulica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asfalta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mehaničkog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oštećenja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habanja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 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oborinskih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voda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zimsko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regulaciju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prometnu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signalizaciju</w:t>
            </w:r>
            <w:proofErr w:type="spellEnd"/>
            <w:r w:rsidR="00760B3C"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1AFA1A89" w14:textId="521B497B" w:rsidR="00760B3C" w:rsidRPr="00223AF5" w:rsidRDefault="00760B3C" w:rsidP="00760B3C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42A48" w:rsidRPr="004C05C7" w14:paraId="3FCA09BB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8BDB" w14:textId="77777777" w:rsidR="00142A48" w:rsidRPr="00223AF5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Sanacija plaža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1053" w14:textId="78D5E63A" w:rsidR="00142A48" w:rsidRPr="00223AF5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53.089 Eur</w:t>
            </w:r>
          </w:p>
        </w:tc>
      </w:tr>
      <w:tr w:rsidR="00760B3C" w:rsidRPr="004C05C7" w14:paraId="12981D38" w14:textId="77777777" w:rsidTr="00760B3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691F" w14:textId="60E7E477" w:rsidR="00760B3C" w:rsidRPr="00223AF5" w:rsidRDefault="00760B3C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prihranu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kamenim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agregatom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obalnih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pera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morskih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valova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. </w:t>
            </w:r>
          </w:p>
          <w:p w14:paraId="7F69A2D1" w14:textId="77777777" w:rsidR="00760B3C" w:rsidRPr="00223AF5" w:rsidRDefault="00760B3C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42A48" w:rsidRPr="004C05C7" w14:paraId="02183191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3302" w14:textId="77777777" w:rsidR="00142A48" w:rsidRPr="00223AF5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javne rasvjete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B909" w14:textId="4010EF36" w:rsidR="00142A48" w:rsidRPr="00223AF5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188.466 Eur</w:t>
            </w:r>
          </w:p>
        </w:tc>
      </w:tr>
      <w:tr w:rsidR="00760B3C" w:rsidRPr="002516BE" w14:paraId="18DF66C6" w14:textId="77777777" w:rsidTr="00760B3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6B311" w14:textId="77777777" w:rsidR="00760B3C" w:rsidRPr="00223AF5" w:rsidRDefault="00760B3C" w:rsidP="00760B3C">
            <w:pPr>
              <w:rPr>
                <w:rFonts w:ascii="Arial" w:hAnsi="Arial" w:cs="Arial"/>
                <w:sz w:val="22"/>
                <w:szCs w:val="22"/>
              </w:rPr>
            </w:pPr>
            <w:r w:rsidRPr="00223AF5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sljedeće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104B72" w14:textId="77777777" w:rsidR="00760B3C" w:rsidRPr="00223AF5" w:rsidRDefault="00760B3C" w:rsidP="00760B3C">
            <w:pPr>
              <w:pStyle w:val="Normal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1DBCC4" w14:textId="51321A85" w:rsidR="00760B3C" w:rsidRPr="00223AF5" w:rsidRDefault="00760B3C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plaćanje utroška i distribucije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el.energije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i tekućeg održavanja zamjene žarulja, lampi, stupova, prigušnica i ostalih potrebnih radnji te dobava potrebnog </w:t>
            </w:r>
            <w:proofErr w:type="spellStart"/>
            <w:r w:rsidRPr="00223AF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elektromaterijala</w:t>
            </w:r>
            <w:proofErr w:type="spellEnd"/>
            <w:r w:rsidRPr="00223AF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142A48" w:rsidRPr="004C05C7" w14:paraId="31C635B8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29FE" w14:textId="77777777" w:rsidR="00142A48" w:rsidRPr="00223AF5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dječjih igrališta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E1F5" w14:textId="1920FBFC" w:rsidR="00142A48" w:rsidRPr="00223AF5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50.435 Eur</w:t>
            </w:r>
          </w:p>
        </w:tc>
      </w:tr>
      <w:tr w:rsidR="00760B3C" w:rsidRPr="004C05C7" w14:paraId="175E1E2E" w14:textId="77777777" w:rsidTr="00760B3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EC19" w14:textId="77777777" w:rsidR="00760B3C" w:rsidRDefault="00760B3C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Popravak te zamjena postojeće opreme.</w:t>
            </w:r>
          </w:p>
          <w:p w14:paraId="18AF47B1" w14:textId="1E47FAC4" w:rsidR="007F1694" w:rsidRPr="00223AF5" w:rsidRDefault="007F1694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42A48" w:rsidRPr="004C05C7" w14:paraId="5EE89F87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C0792C9" w14:textId="77777777" w:rsidR="00142A48" w:rsidRPr="004C05C7" w:rsidRDefault="00142A48" w:rsidP="008A4A29">
            <w:pPr>
              <w:tabs>
                <w:tab w:val="left" w:pos="1701"/>
              </w:tabs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PROGRAM: UPRAVLJANJE IMOVINOM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96F2AC" w14:textId="4F790F6D" w:rsidR="00142A48" w:rsidRPr="004C05C7" w:rsidRDefault="00142A48" w:rsidP="008A4A29">
            <w:pPr>
              <w:tabs>
                <w:tab w:val="left" w:pos="1701"/>
              </w:tabs>
              <w:spacing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1.114.872 Eur</w:t>
            </w:r>
          </w:p>
        </w:tc>
      </w:tr>
      <w:tr w:rsidR="00142A48" w:rsidRPr="004C05C7" w14:paraId="688E709A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DF3A" w14:textId="77777777" w:rsidR="00142A48" w:rsidRPr="004C05C7" w:rsidRDefault="00142A48" w:rsidP="008A4A29">
            <w:pPr>
              <w:tabs>
                <w:tab w:val="left" w:pos="1701"/>
              </w:tabs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Uređenje Trga dr. Franje Tuđmana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C7E19" w14:textId="257C9336" w:rsidR="00142A48" w:rsidRPr="004C05C7" w:rsidRDefault="00142A48" w:rsidP="008A4A29">
            <w:pPr>
              <w:tabs>
                <w:tab w:val="left" w:pos="1701"/>
              </w:tabs>
              <w:spacing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66.361 Eur</w:t>
            </w:r>
          </w:p>
        </w:tc>
      </w:tr>
      <w:tr w:rsidR="00760B3C" w:rsidRPr="004C05C7" w14:paraId="0DEA3A03" w14:textId="77777777" w:rsidTr="00760B3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DBE9" w14:textId="010AE74C" w:rsidR="00760B3C" w:rsidRDefault="008A4A29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Izgradnja spomen obilježja pored administrativne zgrade Općine podstrana </w:t>
            </w:r>
          </w:p>
        </w:tc>
      </w:tr>
      <w:tr w:rsidR="00142A48" w:rsidRPr="004C05C7" w14:paraId="6219D1A1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40D1" w14:textId="61340FA9" w:rsidR="00142A48" w:rsidRPr="004C05C7" w:rsidRDefault="00142A48" w:rsidP="008A4A29">
            <w:pPr>
              <w:tabs>
                <w:tab w:val="left" w:pos="1701"/>
              </w:tabs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 xml:space="preserve">Aktivnost: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Resturacija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-konzervacija umjetničkih djela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5836" w14:textId="00CF2F4F" w:rsidR="00142A48" w:rsidRPr="004C05C7" w:rsidRDefault="00142A48" w:rsidP="008A4A29">
            <w:pPr>
              <w:tabs>
                <w:tab w:val="left" w:pos="1701"/>
              </w:tabs>
              <w:spacing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26.545 Eur</w:t>
            </w:r>
          </w:p>
        </w:tc>
      </w:tr>
      <w:tr w:rsidR="00760B3C" w:rsidRPr="004C05C7" w14:paraId="3F1B0463" w14:textId="77777777" w:rsidTr="00760B3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7381" w14:textId="4CD04008" w:rsidR="00760B3C" w:rsidRDefault="008A4A29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restauraciju slika iz fundusa slikara Mirka Račkog</w:t>
            </w:r>
          </w:p>
        </w:tc>
      </w:tr>
      <w:tr w:rsidR="00142A48" w:rsidRPr="004C05C7" w14:paraId="71FB660F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B6E3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objekata u vlasništvu i posjedu Općine Podstrana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EE5F" w14:textId="08868EE1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46.453 Eur</w:t>
            </w:r>
          </w:p>
        </w:tc>
      </w:tr>
      <w:tr w:rsidR="008A4A29" w:rsidRPr="004C05C7" w14:paraId="57AA4F5A" w14:textId="77777777" w:rsidTr="008A4A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8A3E" w14:textId="20E41E30" w:rsidR="008A4A29" w:rsidRDefault="008A4A29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tekuće održavanje objekata u posjedu Općine Podstrana ( popravak ili zamjena sanitarija, stolarije, elektroinstalacija te obrada zidova)</w:t>
            </w:r>
          </w:p>
        </w:tc>
      </w:tr>
      <w:tr w:rsidR="00142A48" w:rsidRPr="004C05C7" w14:paraId="669A119D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4C74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i opremanje zgrada u vlasništvu i posjedu Općine Podstrana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D37B" w14:textId="6410C1B3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92.906 Eur</w:t>
            </w:r>
          </w:p>
        </w:tc>
      </w:tr>
      <w:tr w:rsidR="008A4A29" w:rsidRPr="002516BE" w14:paraId="4E5D32EA" w14:textId="77777777" w:rsidTr="008A4A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EEC7" w14:textId="23851979" w:rsidR="008A4A29" w:rsidRDefault="008A4A29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materijal i radove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nazamjeni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krovišta na zgradi općine</w:t>
            </w:r>
          </w:p>
        </w:tc>
      </w:tr>
      <w:tr w:rsidR="00142A48" w:rsidRPr="004C05C7" w14:paraId="2A64257A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9E82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Zgrada javne i društvene namjene u Sv. Martinu (ex. Vinkovačko)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BF56" w14:textId="3BF95C49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79.634 Eur</w:t>
            </w:r>
          </w:p>
        </w:tc>
      </w:tr>
      <w:tr w:rsidR="008A4A29" w:rsidRPr="004C05C7" w14:paraId="12951BC2" w14:textId="77777777" w:rsidTr="008A4A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8F16" w14:textId="21D47119" w:rsidR="008A4A29" w:rsidRDefault="008A4A29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2023. godini sredstva su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uklanjanje dijela postojeće građevine te izradu glavnog projekta.</w:t>
            </w:r>
          </w:p>
        </w:tc>
      </w:tr>
      <w:tr w:rsidR="00142A48" w:rsidRPr="004C05C7" w14:paraId="3DF7D29C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8DFD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sportskih dvorana i ostalih sportskih sadržaja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067D" w14:textId="44F88F56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763.156 Eur</w:t>
            </w:r>
          </w:p>
        </w:tc>
      </w:tr>
      <w:tr w:rsidR="008A4A29" w:rsidRPr="004C05C7" w14:paraId="3AE418A4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2D69" w14:textId="1D0A62DE" w:rsidR="008A4A29" w:rsidRPr="004C05C7" w:rsidRDefault="008A4A29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Planirana su sredstva za izradu projektne dokumentacije te početak </w:t>
            </w:r>
            <w:r w:rsidR="00A07E2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izgradnje 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DDF0" w14:textId="77777777" w:rsidR="008A4A29" w:rsidRDefault="008A4A29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42A48" w:rsidRPr="004C05C7" w14:paraId="2E6A456B" w14:textId="77777777" w:rsidTr="005B4727">
        <w:trPr>
          <w:trHeight w:val="300"/>
        </w:trPr>
        <w:tc>
          <w:tcPr>
            <w:tcW w:w="4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8568" w14:textId="77777777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zgrade javnog parkinga i pratećih sadržaja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E5B6" w14:textId="018A77D4" w:rsidR="00142A48" w:rsidRPr="004C05C7" w:rsidRDefault="00142A48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39.817 Eur</w:t>
            </w:r>
          </w:p>
        </w:tc>
      </w:tr>
      <w:tr w:rsidR="00A07E27" w:rsidRPr="004C05C7" w14:paraId="0747199C" w14:textId="77777777" w:rsidTr="00A07E27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860A" w14:textId="42077C37" w:rsidR="00A07E27" w:rsidRDefault="00A07E27" w:rsidP="00A07E27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2022. godini izvršen je otkup zemljišta na predjelu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Grljevac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, te se u 2023. god. osiguravaju sredstva za izradu projektne dokumentacije za izgradnju poslovnog centra s javnom garažom. </w:t>
            </w:r>
          </w:p>
        </w:tc>
      </w:tr>
    </w:tbl>
    <w:p w14:paraId="3DF5EC98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E824B14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bCs/>
          <w:sz w:val="22"/>
          <w:szCs w:val="22"/>
          <w:lang w:val="hr-HR"/>
        </w:rPr>
        <w:t>GLAVA 00602: Odsjek za komunalno redarstvo</w:t>
      </w:r>
    </w:p>
    <w:p w14:paraId="0786F92A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Komunalno redarstvo obavlja nadzor nad provođenjem i poštivanjem Odluke o komunalnom redu i drugih odluka Općinskog Vijeća, vezanih uz komunalno gospodarstvo, ali i niza drugih propisa.</w:t>
      </w:r>
    </w:p>
    <w:p w14:paraId="60116AE4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Ovaj odsjek obavlja i poslove nadzora nepropisno zaustavljenih i parkiranih vozila te upravljanja prometom, s ciljem rješavanja prometnih problema.</w:t>
      </w:r>
    </w:p>
    <w:p w14:paraId="173E943B" w14:textId="5967896D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Za rashode redovnog poslovanja ovog odsjeka osigurava se iznos od </w:t>
      </w:r>
      <w:r w:rsidR="007A1181">
        <w:rPr>
          <w:rFonts w:ascii="Arial" w:eastAsia="Calibri" w:hAnsi="Arial" w:cs="Arial"/>
          <w:sz w:val="22"/>
          <w:szCs w:val="22"/>
          <w:lang w:val="hr-HR"/>
        </w:rPr>
        <w:t>107.373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>, što obuhvaća plaće i druge naknade za zaposlene.</w:t>
      </w:r>
    </w:p>
    <w:p w14:paraId="56C96862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7B6665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007: VLASTITI KOMUNALNI POGON</w:t>
      </w:r>
    </w:p>
    <w:p w14:paraId="7B8129A3" w14:textId="5CB98ADF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Vlastiti pogon obavlja djelatnosti održavanja javnih površina, objekata i groblja.</w:t>
      </w:r>
    </w:p>
    <w:p w14:paraId="26524A67" w14:textId="0AF94710" w:rsidR="00DD4EB7" w:rsidRPr="00DD4EB7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DD4EB7">
        <w:rPr>
          <w:rFonts w:ascii="Arial" w:eastAsia="Calibri" w:hAnsi="Arial" w:cs="Arial"/>
          <w:sz w:val="22"/>
          <w:szCs w:val="22"/>
          <w:lang w:val="hr-HR"/>
        </w:rPr>
        <w:t>Cilj programa: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DD4EB7">
        <w:rPr>
          <w:rFonts w:ascii="Arial" w:eastAsia="Calibri" w:hAnsi="Arial" w:cs="Arial"/>
          <w:sz w:val="22"/>
          <w:szCs w:val="22"/>
          <w:lang w:val="hr-HR"/>
        </w:rPr>
        <w:t>Osiguranje sredstava za rješavanje hitnih slučajeva, elementarnih nepogoda i drugih neplaniranih potreba.</w:t>
      </w:r>
    </w:p>
    <w:p w14:paraId="3DFD19E0" w14:textId="77777777" w:rsidR="00DD4EB7" w:rsidRPr="00DD4EB7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DD4EB7">
        <w:rPr>
          <w:rFonts w:ascii="Arial" w:eastAsia="Calibri" w:hAnsi="Arial" w:cs="Arial"/>
          <w:sz w:val="22"/>
          <w:szCs w:val="22"/>
          <w:lang w:val="hr-HR"/>
        </w:rPr>
        <w:t>Pokazatelji uspješnosti: riješeni hitni slučajevi i neplanirane potrebe građana.</w:t>
      </w:r>
    </w:p>
    <w:p w14:paraId="25275318" w14:textId="4ED04978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Ukupni rashodi ovog razdjela iznose </w:t>
      </w:r>
      <w:r w:rsidR="007A1181">
        <w:rPr>
          <w:rFonts w:ascii="Arial" w:eastAsia="Calibri" w:hAnsi="Arial" w:cs="Arial"/>
          <w:sz w:val="22"/>
          <w:szCs w:val="22"/>
          <w:lang w:val="hr-HR"/>
        </w:rPr>
        <w:t>861.106 Eur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za sve planirane aktivnosti.</w:t>
      </w:r>
    </w:p>
    <w:p w14:paraId="7EDBFAE6" w14:textId="29FC8DF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Aktivnosti koje provodi ovaj razdjel</w:t>
      </w:r>
      <w:r w:rsidR="003D591A">
        <w:rPr>
          <w:rFonts w:ascii="Arial" w:eastAsia="Calibri" w:hAnsi="Arial" w:cs="Arial"/>
          <w:sz w:val="22"/>
          <w:szCs w:val="22"/>
          <w:lang w:val="hr-HR"/>
        </w:rPr>
        <w:t xml:space="preserve"> dijelimo na Održavanje komunalne infrastrukture te na upravljanje imovinom</w:t>
      </w: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 i iznosi za njihove provedbe su:</w:t>
      </w:r>
    </w:p>
    <w:p w14:paraId="583541AA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50"/>
        <w:gridCol w:w="1876"/>
      </w:tblGrid>
      <w:tr w:rsidR="004C05C7" w:rsidRPr="004C05C7" w14:paraId="1DD1D062" w14:textId="77777777" w:rsidTr="00234110">
        <w:trPr>
          <w:trHeight w:val="300"/>
        </w:trPr>
        <w:tc>
          <w:tcPr>
            <w:tcW w:w="4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F732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 xml:space="preserve">Aktivnost: Rashodi redovnog poslovanja komunalnog pogona 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E3E0" w14:textId="7C3251E3" w:rsidR="004C05C7" w:rsidRPr="004C05C7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388.347 Eur</w:t>
            </w:r>
          </w:p>
        </w:tc>
      </w:tr>
      <w:tr w:rsidR="004C05C7" w:rsidRPr="004C05C7" w14:paraId="5A640E6A" w14:textId="77777777" w:rsidTr="00234110">
        <w:trPr>
          <w:trHeight w:val="300"/>
        </w:trPr>
        <w:tc>
          <w:tcPr>
            <w:tcW w:w="4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086F" w14:textId="77777777" w:rsidR="004C05C7" w:rsidRPr="004C05C7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komunalnih i osobnih vozila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5315" w14:textId="37D61B39" w:rsidR="004C05C7" w:rsidRPr="004C05C7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4C05C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7A1181">
              <w:rPr>
                <w:rFonts w:ascii="Arial" w:eastAsia="Calibri" w:hAnsi="Arial" w:cs="Arial"/>
                <w:sz w:val="22"/>
                <w:szCs w:val="22"/>
                <w:lang w:val="hr-HR"/>
              </w:rPr>
              <w:t>51.098 Eur</w:t>
            </w:r>
          </w:p>
        </w:tc>
      </w:tr>
      <w:tr w:rsidR="00234110" w:rsidRPr="004C05C7" w14:paraId="25427467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EFD3" w14:textId="3725C01B" w:rsidR="00234110" w:rsidRPr="004C05C7" w:rsidRDefault="00234110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Planirana sredstva uključuju izdatke za gorivo, registraciju, premije osiguranja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vozila,kupnju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rezervnih dijelova, troškove redovnih servisa te potrebne popravke vozila.</w:t>
            </w:r>
          </w:p>
        </w:tc>
      </w:tr>
      <w:tr w:rsidR="004C05C7" w:rsidRPr="004C05C7" w14:paraId="0A672ADC" w14:textId="77777777" w:rsidTr="00234110">
        <w:trPr>
          <w:trHeight w:val="300"/>
        </w:trPr>
        <w:tc>
          <w:tcPr>
            <w:tcW w:w="4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E4C7" w14:textId="77777777" w:rsidR="004C05C7" w:rsidRPr="00223AF5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javnih površina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232" w14:textId="071B0423" w:rsidR="004C05C7" w:rsidRPr="00223AF5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387.551 Eur</w:t>
            </w:r>
          </w:p>
        </w:tc>
      </w:tr>
      <w:tr w:rsidR="00234110" w:rsidRPr="004C05C7" w14:paraId="4EDDFA7B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B588" w14:textId="0BDDCB16" w:rsidR="00234110" w:rsidRPr="00223AF5" w:rsidRDefault="00234110" w:rsidP="00234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strane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vlastitog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pogona 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uključuje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košnju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orezivanje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sakupljanje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biološkog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obnova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njega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drveća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ukrasnog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grmlja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popločenih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nasipanih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javnim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površinama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fitosanitarna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zaštita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nabava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biljnog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materijala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održavanja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drugi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poslovi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potrebni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tih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3AF5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223A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0E18E7" w14:textId="77777777" w:rsidR="00234110" w:rsidRPr="00223AF5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4C05C7" w14:paraId="262F5863" w14:textId="77777777" w:rsidTr="00234110">
        <w:trPr>
          <w:trHeight w:val="300"/>
        </w:trPr>
        <w:tc>
          <w:tcPr>
            <w:tcW w:w="4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F138" w14:textId="77777777" w:rsidR="004C05C7" w:rsidRPr="00223AF5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Organizacija, naplata i održavanje parkirališta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CD21" w14:textId="0792CB96" w:rsidR="004C05C7" w:rsidRPr="00223AF5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7A1181"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20.837 Eur</w:t>
            </w:r>
          </w:p>
        </w:tc>
      </w:tr>
      <w:tr w:rsidR="00234110" w:rsidRPr="004C05C7" w14:paraId="2F216222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F8BD" w14:textId="5777CF9D" w:rsidR="00234110" w:rsidRPr="00223AF5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se odnose na plaćanje programskog paketa za naplatu parkirališta, usluge student servisa za kontrolu naplate, te nabavu potrebnog repromaterijala.</w:t>
            </w:r>
          </w:p>
        </w:tc>
      </w:tr>
      <w:tr w:rsidR="004C05C7" w:rsidRPr="004C05C7" w14:paraId="0A68F8AB" w14:textId="77777777" w:rsidTr="00234110">
        <w:trPr>
          <w:trHeight w:val="300"/>
        </w:trPr>
        <w:tc>
          <w:tcPr>
            <w:tcW w:w="4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88F0" w14:textId="77777777" w:rsidR="004C05C7" w:rsidRPr="00223AF5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zgrada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10CB" w14:textId="0C32A9A3" w:rsidR="004C05C7" w:rsidRPr="00223AF5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3502D"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7A1181"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3.982 Eur</w:t>
            </w:r>
          </w:p>
        </w:tc>
      </w:tr>
      <w:tr w:rsidR="00234110" w:rsidRPr="004C05C7" w14:paraId="639BA614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A4C2" w14:textId="0DD7512D" w:rsidR="00234110" w:rsidRPr="00223AF5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Odnosi se na nabavu sitnog potrošnog materijala za popravke unutar zgrade, koje vrše djelatnici komunalnog pogona</w:t>
            </w:r>
          </w:p>
        </w:tc>
      </w:tr>
      <w:tr w:rsidR="004C05C7" w:rsidRPr="004C05C7" w14:paraId="1BE16798" w14:textId="77777777" w:rsidTr="00234110">
        <w:trPr>
          <w:trHeight w:val="300"/>
        </w:trPr>
        <w:tc>
          <w:tcPr>
            <w:tcW w:w="4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A95" w14:textId="77777777" w:rsidR="004C05C7" w:rsidRPr="00223AF5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groblja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D000" w14:textId="1341B930" w:rsidR="004C05C7" w:rsidRPr="00223AF5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74E9B"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7A1181"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9.291 Eur</w:t>
            </w: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</w:tr>
      <w:tr w:rsidR="00234110" w:rsidRPr="002516BE" w14:paraId="33CA7BAF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6B4F" w14:textId="48A02825" w:rsidR="00234110" w:rsidRPr="00223AF5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223AF5">
              <w:rPr>
                <w:rFonts w:ascii="Arial" w:eastAsia="Calibri" w:hAnsi="Arial" w:cs="Arial"/>
                <w:sz w:val="22"/>
                <w:szCs w:val="22"/>
                <w:lang w:val="hr-HR"/>
              </w:rPr>
              <w:t>Nabava materijala za potrebe ukopa na groblju „Ban“</w:t>
            </w:r>
          </w:p>
        </w:tc>
      </w:tr>
    </w:tbl>
    <w:p w14:paraId="314FF2A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C77FB28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6ED606C" w14:textId="4615EBAE" w:rsidR="00055B7B" w:rsidRDefault="00055B7B" w:rsidP="003753C4">
      <w:pPr>
        <w:spacing w:after="120"/>
        <w:ind w:right="13"/>
        <w:jc w:val="both"/>
        <w:rPr>
          <w:bCs/>
          <w:iCs/>
          <w:lang w:val="hr-HR"/>
        </w:rPr>
      </w:pPr>
    </w:p>
    <w:p w14:paraId="51FF4049" w14:textId="485214B3" w:rsidR="006F4F2D" w:rsidRDefault="006F4F2D" w:rsidP="003753C4">
      <w:pPr>
        <w:spacing w:after="120"/>
        <w:ind w:right="13"/>
        <w:jc w:val="both"/>
        <w:rPr>
          <w:bCs/>
          <w:iCs/>
          <w:lang w:val="hr-HR"/>
        </w:rPr>
      </w:pPr>
    </w:p>
    <w:p w14:paraId="667E3DAD" w14:textId="729F943B" w:rsidR="006F4F2D" w:rsidRDefault="006F4F2D" w:rsidP="006F4F2D">
      <w:pPr>
        <w:rPr>
          <w:rFonts w:eastAsia="Calibri"/>
          <w:b/>
          <w:noProof/>
          <w:lang w:val="hr-HR"/>
        </w:rPr>
      </w:pPr>
      <w:bookmarkStart w:id="14" w:name="_Hlk58592019"/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bookmarkEnd w:id="14"/>
    </w:p>
    <w:p w14:paraId="777DE8F6" w14:textId="77777777" w:rsidR="00893546" w:rsidRDefault="00893546" w:rsidP="003753C4">
      <w:pPr>
        <w:spacing w:after="120"/>
        <w:ind w:right="13"/>
        <w:jc w:val="both"/>
        <w:rPr>
          <w:bCs/>
          <w:iCs/>
          <w:lang w:val="hr-HR"/>
        </w:rPr>
        <w:sectPr w:rsidR="0089354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124A9E" w14:textId="71405FC7" w:rsidR="00893546" w:rsidRDefault="00893546" w:rsidP="00893546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lastRenderedPageBreak/>
        <w:t xml:space="preserve">Članak 5. </w:t>
      </w:r>
    </w:p>
    <w:p w14:paraId="4DA74024" w14:textId="77777777" w:rsidR="00893546" w:rsidRDefault="00893546" w:rsidP="00893546">
      <w:pPr>
        <w:jc w:val="center"/>
        <w:rPr>
          <w:b/>
          <w:bCs/>
          <w:iCs/>
          <w:lang w:val="hr-HR"/>
        </w:rPr>
      </w:pPr>
    </w:p>
    <w:p w14:paraId="7DC56CD5" w14:textId="77777777" w:rsidR="00893546" w:rsidRPr="00B61CA3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>Ovaj Proračun stupa na snagu osmog dana od dana objave u "Službenom glasniku općine Podstrana", a primjenjuje se od 01.01.2023. godine.</w:t>
      </w:r>
    </w:p>
    <w:p w14:paraId="19ED14A1" w14:textId="364D4832" w:rsidR="00893546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4DD76D7F" w14:textId="5C9077F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579FAB" w14:textId="1595218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15346A60" w14:textId="16E1A40B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695EF231" w14:textId="7A7E247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44A64FD" w14:textId="451123BD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3D94DDBB" w14:textId="130B2122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02D2CB" w14:textId="77777777" w:rsidR="00C5791D" w:rsidRPr="00B61CA3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004E18A" w14:textId="45E9142D" w:rsidR="00C5791D" w:rsidRPr="00C5791D" w:rsidRDefault="00C5791D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>Klasa: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>024-02/22-01/09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   </w:t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Predsjednik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664D4B44" w14:textId="466268EE" w:rsidR="00C5791D" w:rsidRPr="00C5791D" w:rsidRDefault="00C5791D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>Urbroj: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>218139-01-22-</w:t>
      </w:r>
      <w:r w:rsidR="0049664F">
        <w:rPr>
          <w:rFonts w:ascii="Arial" w:eastAsia="Calibri" w:hAnsi="Arial" w:cs="Arial"/>
          <w:iCs/>
          <w:noProof/>
          <w:sz w:val="22"/>
          <w:szCs w:val="22"/>
          <w:lang w:val="hr-HR"/>
        </w:rPr>
        <w:t>2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>Općinskog vijeća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0FF0EB40" w14:textId="409FE4D7" w:rsidR="006F4F2D" w:rsidRPr="00E42377" w:rsidRDefault="00C5791D" w:rsidP="00C5791D">
      <w:pPr>
        <w:spacing w:after="120"/>
        <w:ind w:right="13"/>
        <w:jc w:val="both"/>
        <w:rPr>
          <w:bCs/>
          <w:iCs/>
          <w:lang w:val="hr-HR"/>
        </w:rPr>
      </w:pP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>Podstrana, 15. prosinca 2022.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>Tomislav Buljan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 w:rsidRPr="00B61CA3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</w:p>
    <w:sectPr w:rsidR="006F4F2D" w:rsidRPr="00E42377" w:rsidSect="0089354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582F" w14:textId="77777777" w:rsidR="00166468" w:rsidRDefault="00166468" w:rsidP="001A79AB">
      <w:r>
        <w:separator/>
      </w:r>
    </w:p>
  </w:endnote>
  <w:endnote w:type="continuationSeparator" w:id="0">
    <w:p w14:paraId="06171D50" w14:textId="77777777" w:rsidR="00166468" w:rsidRDefault="00166468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66C6" w14:textId="547D8C73" w:rsidR="00166468" w:rsidRPr="00B974D8" w:rsidRDefault="00166468" w:rsidP="00B974D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8711A8" w:rsidRPr="008711A8">
      <w:rPr>
        <w:noProof/>
        <w:lang w:val="hr-HR"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CF28" w14:textId="77777777" w:rsidR="00166468" w:rsidRDefault="00166468" w:rsidP="001A79AB">
      <w:r>
        <w:separator/>
      </w:r>
    </w:p>
  </w:footnote>
  <w:footnote w:type="continuationSeparator" w:id="0">
    <w:p w14:paraId="53A89A1E" w14:textId="77777777" w:rsidR="00166468" w:rsidRDefault="00166468" w:rsidP="001A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3ED1" w14:textId="77777777" w:rsidR="00166468" w:rsidRPr="00931D33" w:rsidRDefault="00166468" w:rsidP="00931D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720A"/>
    <w:multiLevelType w:val="hybridMultilevel"/>
    <w:tmpl w:val="6326360E"/>
    <w:lvl w:ilvl="0" w:tplc="260296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22596999"/>
    <w:multiLevelType w:val="hybridMultilevel"/>
    <w:tmpl w:val="E610836A"/>
    <w:lvl w:ilvl="0" w:tplc="5A04BE4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B27"/>
    <w:multiLevelType w:val="hybridMultilevel"/>
    <w:tmpl w:val="09BCE4EA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E7175"/>
    <w:multiLevelType w:val="hybridMultilevel"/>
    <w:tmpl w:val="428A29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01EA6"/>
    <w:multiLevelType w:val="hybridMultilevel"/>
    <w:tmpl w:val="FB1E3288"/>
    <w:lvl w:ilvl="0" w:tplc="EA8CA4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B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1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4F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C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E6EAA"/>
    <w:multiLevelType w:val="hybridMultilevel"/>
    <w:tmpl w:val="54E087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E4AE5"/>
    <w:multiLevelType w:val="hybridMultilevel"/>
    <w:tmpl w:val="F37C6E44"/>
    <w:lvl w:ilvl="0" w:tplc="94F048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6F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7D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8C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F9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AFA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519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5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4A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1334">
    <w:abstractNumId w:val="4"/>
  </w:num>
  <w:num w:numId="2" w16cid:durableId="254679893">
    <w:abstractNumId w:val="13"/>
  </w:num>
  <w:num w:numId="3" w16cid:durableId="746800932">
    <w:abstractNumId w:val="3"/>
  </w:num>
  <w:num w:numId="4" w16cid:durableId="1907716479">
    <w:abstractNumId w:val="8"/>
  </w:num>
  <w:num w:numId="5" w16cid:durableId="915436131">
    <w:abstractNumId w:val="5"/>
  </w:num>
  <w:num w:numId="6" w16cid:durableId="1728916512">
    <w:abstractNumId w:val="12"/>
  </w:num>
  <w:num w:numId="7" w16cid:durableId="128984623">
    <w:abstractNumId w:val="15"/>
  </w:num>
  <w:num w:numId="8" w16cid:durableId="756053047">
    <w:abstractNumId w:val="0"/>
  </w:num>
  <w:num w:numId="9" w16cid:durableId="1933389457">
    <w:abstractNumId w:val="11"/>
  </w:num>
  <w:num w:numId="10" w16cid:durableId="1791707465">
    <w:abstractNumId w:val="14"/>
  </w:num>
  <w:num w:numId="11" w16cid:durableId="1959217266">
    <w:abstractNumId w:val="10"/>
  </w:num>
  <w:num w:numId="12" w16cid:durableId="1165130472">
    <w:abstractNumId w:val="7"/>
  </w:num>
  <w:num w:numId="13" w16cid:durableId="1673414799">
    <w:abstractNumId w:val="1"/>
  </w:num>
  <w:num w:numId="14" w16cid:durableId="1638874505">
    <w:abstractNumId w:val="6"/>
  </w:num>
  <w:num w:numId="15" w16cid:durableId="1342901933">
    <w:abstractNumId w:val="2"/>
  </w:num>
  <w:num w:numId="16" w16cid:durableId="724986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5837"/>
    <w:rsid w:val="000072DC"/>
    <w:rsid w:val="00012594"/>
    <w:rsid w:val="00013361"/>
    <w:rsid w:val="00017D64"/>
    <w:rsid w:val="00023C13"/>
    <w:rsid w:val="00026EE0"/>
    <w:rsid w:val="0003711B"/>
    <w:rsid w:val="00043ED9"/>
    <w:rsid w:val="00045581"/>
    <w:rsid w:val="00047642"/>
    <w:rsid w:val="00047C64"/>
    <w:rsid w:val="00050BC6"/>
    <w:rsid w:val="00055B7B"/>
    <w:rsid w:val="00062D02"/>
    <w:rsid w:val="00070C0F"/>
    <w:rsid w:val="000746C2"/>
    <w:rsid w:val="0007626B"/>
    <w:rsid w:val="0008054C"/>
    <w:rsid w:val="000805C7"/>
    <w:rsid w:val="0008189E"/>
    <w:rsid w:val="00083419"/>
    <w:rsid w:val="000836DB"/>
    <w:rsid w:val="00087EED"/>
    <w:rsid w:val="00090390"/>
    <w:rsid w:val="000914E5"/>
    <w:rsid w:val="000A0187"/>
    <w:rsid w:val="000A1FB2"/>
    <w:rsid w:val="000B1EEF"/>
    <w:rsid w:val="000B6D0C"/>
    <w:rsid w:val="000B7A06"/>
    <w:rsid w:val="000B7F20"/>
    <w:rsid w:val="000C092F"/>
    <w:rsid w:val="000D3020"/>
    <w:rsid w:val="000E442E"/>
    <w:rsid w:val="000F2FD4"/>
    <w:rsid w:val="000F38ED"/>
    <w:rsid w:val="000F6498"/>
    <w:rsid w:val="00101E3E"/>
    <w:rsid w:val="00102754"/>
    <w:rsid w:val="001033E2"/>
    <w:rsid w:val="00115635"/>
    <w:rsid w:val="00120C50"/>
    <w:rsid w:val="00140C10"/>
    <w:rsid w:val="00141341"/>
    <w:rsid w:val="00142A48"/>
    <w:rsid w:val="00144A2F"/>
    <w:rsid w:val="001617EB"/>
    <w:rsid w:val="00164431"/>
    <w:rsid w:val="0016614C"/>
    <w:rsid w:val="00166468"/>
    <w:rsid w:val="00166629"/>
    <w:rsid w:val="00166D31"/>
    <w:rsid w:val="001703B8"/>
    <w:rsid w:val="00171B9B"/>
    <w:rsid w:val="00183D95"/>
    <w:rsid w:val="001857A6"/>
    <w:rsid w:val="001872F8"/>
    <w:rsid w:val="00191012"/>
    <w:rsid w:val="001A0FF8"/>
    <w:rsid w:val="001A79AB"/>
    <w:rsid w:val="001B1D56"/>
    <w:rsid w:val="001B3C5A"/>
    <w:rsid w:val="001B4E6E"/>
    <w:rsid w:val="001B7675"/>
    <w:rsid w:val="001C7387"/>
    <w:rsid w:val="001C794A"/>
    <w:rsid w:val="001D01AC"/>
    <w:rsid w:val="001D25E9"/>
    <w:rsid w:val="001D50BE"/>
    <w:rsid w:val="001D647F"/>
    <w:rsid w:val="001E1362"/>
    <w:rsid w:val="0020721E"/>
    <w:rsid w:val="00210912"/>
    <w:rsid w:val="0022076F"/>
    <w:rsid w:val="00221D93"/>
    <w:rsid w:val="00223AF5"/>
    <w:rsid w:val="00224541"/>
    <w:rsid w:val="0022508B"/>
    <w:rsid w:val="0022682C"/>
    <w:rsid w:val="00234110"/>
    <w:rsid w:val="00240DA8"/>
    <w:rsid w:val="00245140"/>
    <w:rsid w:val="002516BE"/>
    <w:rsid w:val="00256EBA"/>
    <w:rsid w:val="0026040F"/>
    <w:rsid w:val="002633FD"/>
    <w:rsid w:val="00273799"/>
    <w:rsid w:val="00274E9B"/>
    <w:rsid w:val="00282400"/>
    <w:rsid w:val="00293729"/>
    <w:rsid w:val="002A07CF"/>
    <w:rsid w:val="002A38B5"/>
    <w:rsid w:val="002B134C"/>
    <w:rsid w:val="002B4DA5"/>
    <w:rsid w:val="002B615D"/>
    <w:rsid w:val="002B7941"/>
    <w:rsid w:val="002B7A53"/>
    <w:rsid w:val="002C400B"/>
    <w:rsid w:val="002C6159"/>
    <w:rsid w:val="002D31C7"/>
    <w:rsid w:val="002D6FA5"/>
    <w:rsid w:val="002D76ED"/>
    <w:rsid w:val="002E081E"/>
    <w:rsid w:val="002E5CC4"/>
    <w:rsid w:val="002E629C"/>
    <w:rsid w:val="002E6CFC"/>
    <w:rsid w:val="00302A17"/>
    <w:rsid w:val="00305B7A"/>
    <w:rsid w:val="00307931"/>
    <w:rsid w:val="0031376A"/>
    <w:rsid w:val="00314734"/>
    <w:rsid w:val="0031742C"/>
    <w:rsid w:val="0032143D"/>
    <w:rsid w:val="003223FE"/>
    <w:rsid w:val="00323F6A"/>
    <w:rsid w:val="003264A4"/>
    <w:rsid w:val="0033317B"/>
    <w:rsid w:val="00347186"/>
    <w:rsid w:val="00347536"/>
    <w:rsid w:val="00347A96"/>
    <w:rsid w:val="00350BE4"/>
    <w:rsid w:val="00356E68"/>
    <w:rsid w:val="00356FE2"/>
    <w:rsid w:val="00360ADF"/>
    <w:rsid w:val="00361D64"/>
    <w:rsid w:val="00362AC6"/>
    <w:rsid w:val="0036494E"/>
    <w:rsid w:val="00370A40"/>
    <w:rsid w:val="003753C4"/>
    <w:rsid w:val="00381E39"/>
    <w:rsid w:val="00381EE1"/>
    <w:rsid w:val="0039179A"/>
    <w:rsid w:val="00397EB4"/>
    <w:rsid w:val="003A147C"/>
    <w:rsid w:val="003A4113"/>
    <w:rsid w:val="003A666F"/>
    <w:rsid w:val="003B100C"/>
    <w:rsid w:val="003B1478"/>
    <w:rsid w:val="003B1D6D"/>
    <w:rsid w:val="003B44C0"/>
    <w:rsid w:val="003B5860"/>
    <w:rsid w:val="003C12FD"/>
    <w:rsid w:val="003C2586"/>
    <w:rsid w:val="003C5F9C"/>
    <w:rsid w:val="003C638A"/>
    <w:rsid w:val="003D0680"/>
    <w:rsid w:val="003D34E1"/>
    <w:rsid w:val="003D380E"/>
    <w:rsid w:val="003D591A"/>
    <w:rsid w:val="003E4046"/>
    <w:rsid w:val="003E5035"/>
    <w:rsid w:val="003E70CA"/>
    <w:rsid w:val="003E738F"/>
    <w:rsid w:val="003F1FD2"/>
    <w:rsid w:val="003F5F32"/>
    <w:rsid w:val="00401134"/>
    <w:rsid w:val="004012F1"/>
    <w:rsid w:val="00403BF6"/>
    <w:rsid w:val="0041650E"/>
    <w:rsid w:val="004262CA"/>
    <w:rsid w:val="00426634"/>
    <w:rsid w:val="004322E8"/>
    <w:rsid w:val="00433867"/>
    <w:rsid w:val="00440B5B"/>
    <w:rsid w:val="00442E5B"/>
    <w:rsid w:val="00443D6F"/>
    <w:rsid w:val="00444ADD"/>
    <w:rsid w:val="00446963"/>
    <w:rsid w:val="0044739C"/>
    <w:rsid w:val="00447DEC"/>
    <w:rsid w:val="00451425"/>
    <w:rsid w:val="00451462"/>
    <w:rsid w:val="004546D5"/>
    <w:rsid w:val="0045746C"/>
    <w:rsid w:val="00465CE9"/>
    <w:rsid w:val="00484276"/>
    <w:rsid w:val="00486EDB"/>
    <w:rsid w:val="004913EA"/>
    <w:rsid w:val="00493FC9"/>
    <w:rsid w:val="00495B85"/>
    <w:rsid w:val="0049664F"/>
    <w:rsid w:val="004A0129"/>
    <w:rsid w:val="004A03A2"/>
    <w:rsid w:val="004A2572"/>
    <w:rsid w:val="004B5F23"/>
    <w:rsid w:val="004B7C8C"/>
    <w:rsid w:val="004C04BB"/>
    <w:rsid w:val="004C05C7"/>
    <w:rsid w:val="004C0850"/>
    <w:rsid w:val="004C4731"/>
    <w:rsid w:val="004C6674"/>
    <w:rsid w:val="004C7BD7"/>
    <w:rsid w:val="004E0ED1"/>
    <w:rsid w:val="004F3682"/>
    <w:rsid w:val="005046BA"/>
    <w:rsid w:val="005055A7"/>
    <w:rsid w:val="0051275F"/>
    <w:rsid w:val="005145AA"/>
    <w:rsid w:val="00520673"/>
    <w:rsid w:val="00521534"/>
    <w:rsid w:val="00523EBB"/>
    <w:rsid w:val="0052580A"/>
    <w:rsid w:val="00526EB6"/>
    <w:rsid w:val="005328A6"/>
    <w:rsid w:val="00535138"/>
    <w:rsid w:val="00535155"/>
    <w:rsid w:val="005363B0"/>
    <w:rsid w:val="0054254F"/>
    <w:rsid w:val="00543B1F"/>
    <w:rsid w:val="00551E0D"/>
    <w:rsid w:val="005551C4"/>
    <w:rsid w:val="005552A4"/>
    <w:rsid w:val="005628F2"/>
    <w:rsid w:val="00562D32"/>
    <w:rsid w:val="005633FE"/>
    <w:rsid w:val="00565BE2"/>
    <w:rsid w:val="00577E77"/>
    <w:rsid w:val="00585D14"/>
    <w:rsid w:val="005870CD"/>
    <w:rsid w:val="00590164"/>
    <w:rsid w:val="00590821"/>
    <w:rsid w:val="005A25AB"/>
    <w:rsid w:val="005A3F57"/>
    <w:rsid w:val="005A451C"/>
    <w:rsid w:val="005A481D"/>
    <w:rsid w:val="005B0F38"/>
    <w:rsid w:val="005B12B6"/>
    <w:rsid w:val="005B25F0"/>
    <w:rsid w:val="005B2880"/>
    <w:rsid w:val="005B4727"/>
    <w:rsid w:val="005B4EFB"/>
    <w:rsid w:val="005B5037"/>
    <w:rsid w:val="005C0D23"/>
    <w:rsid w:val="005C1DB8"/>
    <w:rsid w:val="005C2ACC"/>
    <w:rsid w:val="005D1260"/>
    <w:rsid w:val="005D2F68"/>
    <w:rsid w:val="005D66A4"/>
    <w:rsid w:val="005E6521"/>
    <w:rsid w:val="005E7065"/>
    <w:rsid w:val="005E7CCC"/>
    <w:rsid w:val="005F0EE4"/>
    <w:rsid w:val="0060574C"/>
    <w:rsid w:val="00606147"/>
    <w:rsid w:val="00606E27"/>
    <w:rsid w:val="006120A4"/>
    <w:rsid w:val="00616A16"/>
    <w:rsid w:val="0061774F"/>
    <w:rsid w:val="0062454C"/>
    <w:rsid w:val="00633EA1"/>
    <w:rsid w:val="006343CD"/>
    <w:rsid w:val="006362BC"/>
    <w:rsid w:val="0064568B"/>
    <w:rsid w:val="0065370D"/>
    <w:rsid w:val="00656890"/>
    <w:rsid w:val="0065703C"/>
    <w:rsid w:val="006574F2"/>
    <w:rsid w:val="00661792"/>
    <w:rsid w:val="00663D37"/>
    <w:rsid w:val="0066435B"/>
    <w:rsid w:val="00670CD9"/>
    <w:rsid w:val="006752FB"/>
    <w:rsid w:val="00677722"/>
    <w:rsid w:val="0068325F"/>
    <w:rsid w:val="00683329"/>
    <w:rsid w:val="006860D9"/>
    <w:rsid w:val="00691D39"/>
    <w:rsid w:val="00692FC1"/>
    <w:rsid w:val="006938B7"/>
    <w:rsid w:val="00694D78"/>
    <w:rsid w:val="006B61C4"/>
    <w:rsid w:val="006B6BBB"/>
    <w:rsid w:val="006C0B03"/>
    <w:rsid w:val="006C0E7F"/>
    <w:rsid w:val="006C1ED9"/>
    <w:rsid w:val="006D0974"/>
    <w:rsid w:val="006D284D"/>
    <w:rsid w:val="006D6113"/>
    <w:rsid w:val="006D63E3"/>
    <w:rsid w:val="006E03CD"/>
    <w:rsid w:val="006E0729"/>
    <w:rsid w:val="006E24D5"/>
    <w:rsid w:val="006E30B0"/>
    <w:rsid w:val="006F408D"/>
    <w:rsid w:val="006F4184"/>
    <w:rsid w:val="006F4F2D"/>
    <w:rsid w:val="006F6648"/>
    <w:rsid w:val="006F6DFB"/>
    <w:rsid w:val="00704458"/>
    <w:rsid w:val="00715FC0"/>
    <w:rsid w:val="00720D98"/>
    <w:rsid w:val="00725C39"/>
    <w:rsid w:val="0072623D"/>
    <w:rsid w:val="0073154B"/>
    <w:rsid w:val="00735FB0"/>
    <w:rsid w:val="0074669C"/>
    <w:rsid w:val="00747B35"/>
    <w:rsid w:val="007542C3"/>
    <w:rsid w:val="007543B9"/>
    <w:rsid w:val="007545BA"/>
    <w:rsid w:val="00755462"/>
    <w:rsid w:val="00756376"/>
    <w:rsid w:val="00757F7B"/>
    <w:rsid w:val="00760794"/>
    <w:rsid w:val="00760B3C"/>
    <w:rsid w:val="00760DEB"/>
    <w:rsid w:val="007622D4"/>
    <w:rsid w:val="0076362A"/>
    <w:rsid w:val="00785F8B"/>
    <w:rsid w:val="00787DD7"/>
    <w:rsid w:val="00791106"/>
    <w:rsid w:val="00791237"/>
    <w:rsid w:val="00791F91"/>
    <w:rsid w:val="00792C1D"/>
    <w:rsid w:val="0079379F"/>
    <w:rsid w:val="00795009"/>
    <w:rsid w:val="00797D36"/>
    <w:rsid w:val="007A1181"/>
    <w:rsid w:val="007A1EC7"/>
    <w:rsid w:val="007A26B5"/>
    <w:rsid w:val="007A4B2C"/>
    <w:rsid w:val="007B4264"/>
    <w:rsid w:val="007B4462"/>
    <w:rsid w:val="007B560F"/>
    <w:rsid w:val="007C2168"/>
    <w:rsid w:val="007C5345"/>
    <w:rsid w:val="007D5591"/>
    <w:rsid w:val="007D708D"/>
    <w:rsid w:val="007D7EEF"/>
    <w:rsid w:val="007E523F"/>
    <w:rsid w:val="007E572D"/>
    <w:rsid w:val="007E66B0"/>
    <w:rsid w:val="007F1694"/>
    <w:rsid w:val="007F2461"/>
    <w:rsid w:val="007F3722"/>
    <w:rsid w:val="008031EA"/>
    <w:rsid w:val="00814BBD"/>
    <w:rsid w:val="008154E0"/>
    <w:rsid w:val="008158F7"/>
    <w:rsid w:val="0081753D"/>
    <w:rsid w:val="00820C58"/>
    <w:rsid w:val="00825ADB"/>
    <w:rsid w:val="0083659F"/>
    <w:rsid w:val="00845F6E"/>
    <w:rsid w:val="008473FB"/>
    <w:rsid w:val="008511F1"/>
    <w:rsid w:val="00862422"/>
    <w:rsid w:val="008635A7"/>
    <w:rsid w:val="008657B1"/>
    <w:rsid w:val="008711A8"/>
    <w:rsid w:val="008750D8"/>
    <w:rsid w:val="008766C4"/>
    <w:rsid w:val="00887311"/>
    <w:rsid w:val="00893546"/>
    <w:rsid w:val="00894B42"/>
    <w:rsid w:val="008A202D"/>
    <w:rsid w:val="008A4A29"/>
    <w:rsid w:val="008A5760"/>
    <w:rsid w:val="008A6D64"/>
    <w:rsid w:val="008A7881"/>
    <w:rsid w:val="008B0EE5"/>
    <w:rsid w:val="008B2BE6"/>
    <w:rsid w:val="008C2B7C"/>
    <w:rsid w:val="008C6F99"/>
    <w:rsid w:val="008D067A"/>
    <w:rsid w:val="008D151C"/>
    <w:rsid w:val="008D16DF"/>
    <w:rsid w:val="008D5085"/>
    <w:rsid w:val="008D7B01"/>
    <w:rsid w:val="008E09A7"/>
    <w:rsid w:val="008E1272"/>
    <w:rsid w:val="008E3746"/>
    <w:rsid w:val="008E41BC"/>
    <w:rsid w:val="008F3C0E"/>
    <w:rsid w:val="008F4E03"/>
    <w:rsid w:val="008F7D34"/>
    <w:rsid w:val="00905A31"/>
    <w:rsid w:val="00910F6B"/>
    <w:rsid w:val="0091332E"/>
    <w:rsid w:val="00916A06"/>
    <w:rsid w:val="00931D33"/>
    <w:rsid w:val="00934174"/>
    <w:rsid w:val="0093502D"/>
    <w:rsid w:val="00936897"/>
    <w:rsid w:val="00943364"/>
    <w:rsid w:val="00944178"/>
    <w:rsid w:val="009551B6"/>
    <w:rsid w:val="00965A5D"/>
    <w:rsid w:val="009708F2"/>
    <w:rsid w:val="00974745"/>
    <w:rsid w:val="00984455"/>
    <w:rsid w:val="00986CE2"/>
    <w:rsid w:val="00991AEC"/>
    <w:rsid w:val="00993D75"/>
    <w:rsid w:val="00995993"/>
    <w:rsid w:val="009A0A8C"/>
    <w:rsid w:val="009A3AAD"/>
    <w:rsid w:val="009A5027"/>
    <w:rsid w:val="009A5580"/>
    <w:rsid w:val="009A6568"/>
    <w:rsid w:val="009B2420"/>
    <w:rsid w:val="009B2C33"/>
    <w:rsid w:val="009B2E62"/>
    <w:rsid w:val="009B4108"/>
    <w:rsid w:val="009B5E5F"/>
    <w:rsid w:val="009B7C1E"/>
    <w:rsid w:val="009D59B2"/>
    <w:rsid w:val="009D5F87"/>
    <w:rsid w:val="009D62D5"/>
    <w:rsid w:val="009D79FF"/>
    <w:rsid w:val="009D7CC5"/>
    <w:rsid w:val="009E5442"/>
    <w:rsid w:val="009E6656"/>
    <w:rsid w:val="009F09FB"/>
    <w:rsid w:val="009F0BE2"/>
    <w:rsid w:val="009F22B3"/>
    <w:rsid w:val="009F2E37"/>
    <w:rsid w:val="009F59AD"/>
    <w:rsid w:val="00A00FD7"/>
    <w:rsid w:val="00A0407D"/>
    <w:rsid w:val="00A04736"/>
    <w:rsid w:val="00A0690B"/>
    <w:rsid w:val="00A07DBD"/>
    <w:rsid w:val="00A07E27"/>
    <w:rsid w:val="00A108F0"/>
    <w:rsid w:val="00A10BFC"/>
    <w:rsid w:val="00A11DB1"/>
    <w:rsid w:val="00A1223F"/>
    <w:rsid w:val="00A15538"/>
    <w:rsid w:val="00A24011"/>
    <w:rsid w:val="00A242C9"/>
    <w:rsid w:val="00A2479E"/>
    <w:rsid w:val="00A317B8"/>
    <w:rsid w:val="00A33D90"/>
    <w:rsid w:val="00A34CC3"/>
    <w:rsid w:val="00A36A1F"/>
    <w:rsid w:val="00A47E40"/>
    <w:rsid w:val="00A54DBC"/>
    <w:rsid w:val="00A6286F"/>
    <w:rsid w:val="00A64A83"/>
    <w:rsid w:val="00A64B4A"/>
    <w:rsid w:val="00A66D0A"/>
    <w:rsid w:val="00A673C4"/>
    <w:rsid w:val="00A7018C"/>
    <w:rsid w:val="00A76624"/>
    <w:rsid w:val="00A81AC1"/>
    <w:rsid w:val="00A97460"/>
    <w:rsid w:val="00AA2507"/>
    <w:rsid w:val="00AA38D9"/>
    <w:rsid w:val="00AA701E"/>
    <w:rsid w:val="00AB2DD4"/>
    <w:rsid w:val="00AB60F9"/>
    <w:rsid w:val="00AC05F8"/>
    <w:rsid w:val="00AD0748"/>
    <w:rsid w:val="00AD0B69"/>
    <w:rsid w:val="00AD1AE7"/>
    <w:rsid w:val="00AD4637"/>
    <w:rsid w:val="00AE0B2B"/>
    <w:rsid w:val="00AE2002"/>
    <w:rsid w:val="00AE20A6"/>
    <w:rsid w:val="00AE7C6B"/>
    <w:rsid w:val="00AF0D7D"/>
    <w:rsid w:val="00AF40A6"/>
    <w:rsid w:val="00AF7DBB"/>
    <w:rsid w:val="00B0039A"/>
    <w:rsid w:val="00B006A5"/>
    <w:rsid w:val="00B025A0"/>
    <w:rsid w:val="00B16131"/>
    <w:rsid w:val="00B173AE"/>
    <w:rsid w:val="00B20CF2"/>
    <w:rsid w:val="00B24063"/>
    <w:rsid w:val="00B44628"/>
    <w:rsid w:val="00B47E20"/>
    <w:rsid w:val="00B52B12"/>
    <w:rsid w:val="00B53F7A"/>
    <w:rsid w:val="00B57508"/>
    <w:rsid w:val="00B603C7"/>
    <w:rsid w:val="00B61CA3"/>
    <w:rsid w:val="00B62F00"/>
    <w:rsid w:val="00B72CD6"/>
    <w:rsid w:val="00B83F48"/>
    <w:rsid w:val="00B845CA"/>
    <w:rsid w:val="00B8568C"/>
    <w:rsid w:val="00B85879"/>
    <w:rsid w:val="00B85FDE"/>
    <w:rsid w:val="00B86C1A"/>
    <w:rsid w:val="00B92071"/>
    <w:rsid w:val="00B9434B"/>
    <w:rsid w:val="00B94758"/>
    <w:rsid w:val="00B974D8"/>
    <w:rsid w:val="00BA2EB1"/>
    <w:rsid w:val="00BB0CF3"/>
    <w:rsid w:val="00BB2865"/>
    <w:rsid w:val="00BB4254"/>
    <w:rsid w:val="00BB5DBF"/>
    <w:rsid w:val="00BC038F"/>
    <w:rsid w:val="00BC559B"/>
    <w:rsid w:val="00BD05E0"/>
    <w:rsid w:val="00BD061E"/>
    <w:rsid w:val="00BD3B0E"/>
    <w:rsid w:val="00BD7547"/>
    <w:rsid w:val="00BE2072"/>
    <w:rsid w:val="00BE3B22"/>
    <w:rsid w:val="00BE4945"/>
    <w:rsid w:val="00BF0F94"/>
    <w:rsid w:val="00C00F93"/>
    <w:rsid w:val="00C01BAE"/>
    <w:rsid w:val="00C06662"/>
    <w:rsid w:val="00C211C5"/>
    <w:rsid w:val="00C2404D"/>
    <w:rsid w:val="00C279FB"/>
    <w:rsid w:val="00C318AA"/>
    <w:rsid w:val="00C40BCB"/>
    <w:rsid w:val="00C42493"/>
    <w:rsid w:val="00C44BC5"/>
    <w:rsid w:val="00C450F3"/>
    <w:rsid w:val="00C52770"/>
    <w:rsid w:val="00C56544"/>
    <w:rsid w:val="00C57348"/>
    <w:rsid w:val="00C5791D"/>
    <w:rsid w:val="00C60C28"/>
    <w:rsid w:val="00C62E27"/>
    <w:rsid w:val="00C636F8"/>
    <w:rsid w:val="00C67157"/>
    <w:rsid w:val="00C67B13"/>
    <w:rsid w:val="00C711AB"/>
    <w:rsid w:val="00C74245"/>
    <w:rsid w:val="00C76E2A"/>
    <w:rsid w:val="00C8095F"/>
    <w:rsid w:val="00C86820"/>
    <w:rsid w:val="00C91911"/>
    <w:rsid w:val="00C92444"/>
    <w:rsid w:val="00C92F31"/>
    <w:rsid w:val="00C9403A"/>
    <w:rsid w:val="00C96264"/>
    <w:rsid w:val="00C97262"/>
    <w:rsid w:val="00CA16FD"/>
    <w:rsid w:val="00CA1B7E"/>
    <w:rsid w:val="00CA221E"/>
    <w:rsid w:val="00CA4934"/>
    <w:rsid w:val="00CA6147"/>
    <w:rsid w:val="00CB272D"/>
    <w:rsid w:val="00CB5829"/>
    <w:rsid w:val="00CC044B"/>
    <w:rsid w:val="00CC4514"/>
    <w:rsid w:val="00CC4E84"/>
    <w:rsid w:val="00CC5D3A"/>
    <w:rsid w:val="00CD0AE2"/>
    <w:rsid w:val="00CD337A"/>
    <w:rsid w:val="00CE0B04"/>
    <w:rsid w:val="00CE1293"/>
    <w:rsid w:val="00CF09AC"/>
    <w:rsid w:val="00CF38A6"/>
    <w:rsid w:val="00D0054B"/>
    <w:rsid w:val="00D02C5F"/>
    <w:rsid w:val="00D0630D"/>
    <w:rsid w:val="00D12E6F"/>
    <w:rsid w:val="00D207A1"/>
    <w:rsid w:val="00D211C7"/>
    <w:rsid w:val="00D221E1"/>
    <w:rsid w:val="00D25D26"/>
    <w:rsid w:val="00D30B3B"/>
    <w:rsid w:val="00D31D54"/>
    <w:rsid w:val="00D31EB4"/>
    <w:rsid w:val="00D33723"/>
    <w:rsid w:val="00D35B44"/>
    <w:rsid w:val="00D370E5"/>
    <w:rsid w:val="00D40113"/>
    <w:rsid w:val="00D43C34"/>
    <w:rsid w:val="00D56F50"/>
    <w:rsid w:val="00D7782D"/>
    <w:rsid w:val="00D83C34"/>
    <w:rsid w:val="00D92E5F"/>
    <w:rsid w:val="00D96BE1"/>
    <w:rsid w:val="00DA5EFE"/>
    <w:rsid w:val="00DB1379"/>
    <w:rsid w:val="00DB162D"/>
    <w:rsid w:val="00DB232C"/>
    <w:rsid w:val="00DC185F"/>
    <w:rsid w:val="00DD3004"/>
    <w:rsid w:val="00DD4E48"/>
    <w:rsid w:val="00DD4EB7"/>
    <w:rsid w:val="00DE207C"/>
    <w:rsid w:val="00DE495F"/>
    <w:rsid w:val="00DF1441"/>
    <w:rsid w:val="00DF2372"/>
    <w:rsid w:val="00E031FC"/>
    <w:rsid w:val="00E0654F"/>
    <w:rsid w:val="00E10183"/>
    <w:rsid w:val="00E1149C"/>
    <w:rsid w:val="00E147F6"/>
    <w:rsid w:val="00E250F4"/>
    <w:rsid w:val="00E301DE"/>
    <w:rsid w:val="00E32FB0"/>
    <w:rsid w:val="00E348E4"/>
    <w:rsid w:val="00E36E1C"/>
    <w:rsid w:val="00E42377"/>
    <w:rsid w:val="00E43116"/>
    <w:rsid w:val="00E433FC"/>
    <w:rsid w:val="00E44705"/>
    <w:rsid w:val="00E464CB"/>
    <w:rsid w:val="00E53873"/>
    <w:rsid w:val="00E53952"/>
    <w:rsid w:val="00E53A9E"/>
    <w:rsid w:val="00E53E77"/>
    <w:rsid w:val="00E55B68"/>
    <w:rsid w:val="00E604D6"/>
    <w:rsid w:val="00E665D1"/>
    <w:rsid w:val="00E70E77"/>
    <w:rsid w:val="00E80D9D"/>
    <w:rsid w:val="00E811E6"/>
    <w:rsid w:val="00E86F45"/>
    <w:rsid w:val="00E87AC1"/>
    <w:rsid w:val="00E94433"/>
    <w:rsid w:val="00EA2851"/>
    <w:rsid w:val="00EA5B85"/>
    <w:rsid w:val="00EB0321"/>
    <w:rsid w:val="00EB48AD"/>
    <w:rsid w:val="00EB6B33"/>
    <w:rsid w:val="00EC4123"/>
    <w:rsid w:val="00EC508A"/>
    <w:rsid w:val="00ED6CB6"/>
    <w:rsid w:val="00EF2762"/>
    <w:rsid w:val="00EF4C74"/>
    <w:rsid w:val="00F01D2A"/>
    <w:rsid w:val="00F021B1"/>
    <w:rsid w:val="00F02D5A"/>
    <w:rsid w:val="00F0357F"/>
    <w:rsid w:val="00F037DC"/>
    <w:rsid w:val="00F04AB2"/>
    <w:rsid w:val="00F1192F"/>
    <w:rsid w:val="00F11B79"/>
    <w:rsid w:val="00F1235E"/>
    <w:rsid w:val="00F14B23"/>
    <w:rsid w:val="00F1640D"/>
    <w:rsid w:val="00F16597"/>
    <w:rsid w:val="00F17EA5"/>
    <w:rsid w:val="00F17EFA"/>
    <w:rsid w:val="00F253E7"/>
    <w:rsid w:val="00F30920"/>
    <w:rsid w:val="00F343A6"/>
    <w:rsid w:val="00F35B91"/>
    <w:rsid w:val="00F47F62"/>
    <w:rsid w:val="00F5349E"/>
    <w:rsid w:val="00F578ED"/>
    <w:rsid w:val="00F57F79"/>
    <w:rsid w:val="00F73AD2"/>
    <w:rsid w:val="00F74E26"/>
    <w:rsid w:val="00F75E83"/>
    <w:rsid w:val="00F825B0"/>
    <w:rsid w:val="00F92D98"/>
    <w:rsid w:val="00FA14D8"/>
    <w:rsid w:val="00FA4378"/>
    <w:rsid w:val="00FB3798"/>
    <w:rsid w:val="00FC1664"/>
    <w:rsid w:val="00FD4CCB"/>
    <w:rsid w:val="00FD632F"/>
    <w:rsid w:val="00FE3887"/>
    <w:rsid w:val="00FF3785"/>
    <w:rsid w:val="00FF5AD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9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B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2B4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numbering" w:customStyle="1" w:styleId="Bezpopisa2">
    <w:name w:val="Bez popisa2"/>
    <w:next w:val="Bezpopisa"/>
    <w:uiPriority w:val="99"/>
    <w:semiHidden/>
    <w:unhideWhenUsed/>
    <w:rsid w:val="002B4DA5"/>
  </w:style>
  <w:style w:type="table" w:customStyle="1" w:styleId="Reetkatablice1">
    <w:name w:val="Rešetka tablice1"/>
    <w:basedOn w:val="Obinatablica"/>
    <w:next w:val="Reetkatablice"/>
    <w:uiPriority w:val="39"/>
    <w:rsid w:val="002B4D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1">
    <w:name w:val="xl171"/>
    <w:basedOn w:val="Normal"/>
    <w:rsid w:val="003B1478"/>
    <w:pPr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72">
    <w:name w:val="xl172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73">
    <w:name w:val="xl173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4">
    <w:name w:val="xl174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5">
    <w:name w:val="xl17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6">
    <w:name w:val="xl176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7">
    <w:name w:val="xl177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78">
    <w:name w:val="xl178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79">
    <w:name w:val="xl179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0">
    <w:name w:val="xl180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1">
    <w:name w:val="xl181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2">
    <w:name w:val="xl182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3">
    <w:name w:val="xl183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4">
    <w:name w:val="xl184"/>
    <w:basedOn w:val="Normal"/>
    <w:rsid w:val="003B1478"/>
    <w:pPr>
      <w:shd w:val="clear" w:color="000000" w:fill="16365C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5">
    <w:name w:val="xl185"/>
    <w:basedOn w:val="Normal"/>
    <w:rsid w:val="003B1478"/>
    <w:pPr>
      <w:shd w:val="clear" w:color="000000" w:fill="5050A8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6">
    <w:name w:val="xl18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87">
    <w:name w:val="xl187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8">
    <w:name w:val="xl188"/>
    <w:basedOn w:val="Normal"/>
    <w:rsid w:val="003B1478"/>
    <w:pPr>
      <w:shd w:val="clear" w:color="000000" w:fill="00B0F0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9">
    <w:name w:val="xl189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0">
    <w:name w:val="xl190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1">
    <w:name w:val="xl191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2">
    <w:name w:val="xl192"/>
    <w:basedOn w:val="Normal"/>
    <w:rsid w:val="003B1478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93">
    <w:name w:val="xl193"/>
    <w:basedOn w:val="Normal"/>
    <w:rsid w:val="003B147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hr-HR" w:eastAsia="hr-HR"/>
    </w:rPr>
  </w:style>
  <w:style w:type="paragraph" w:customStyle="1" w:styleId="xl194">
    <w:name w:val="xl194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5">
    <w:name w:val="xl195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6">
    <w:name w:val="xl196"/>
    <w:basedOn w:val="Normal"/>
    <w:rsid w:val="003B1478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97">
    <w:name w:val="xl197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8">
    <w:name w:val="xl198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99">
    <w:name w:val="xl199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0">
    <w:name w:val="xl200"/>
    <w:basedOn w:val="Normal"/>
    <w:rsid w:val="003B1478"/>
    <w:pP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1">
    <w:name w:val="xl201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2">
    <w:name w:val="xl202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3">
    <w:name w:val="xl203"/>
    <w:basedOn w:val="Normal"/>
    <w:rsid w:val="003B1478"/>
    <w:pP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4">
    <w:name w:val="xl204"/>
    <w:basedOn w:val="Normal"/>
    <w:rsid w:val="003B1478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5">
    <w:name w:val="xl20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6">
    <w:name w:val="xl206"/>
    <w:basedOn w:val="Normal"/>
    <w:rsid w:val="003B147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7">
    <w:name w:val="xl207"/>
    <w:basedOn w:val="Normal"/>
    <w:rsid w:val="003B1478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8">
    <w:name w:val="xl208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9">
    <w:name w:val="xl209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0">
    <w:name w:val="xl210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1">
    <w:name w:val="xl211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2">
    <w:name w:val="xl212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3">
    <w:name w:val="xl213"/>
    <w:basedOn w:val="Normal"/>
    <w:rsid w:val="003B1478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4">
    <w:name w:val="xl214"/>
    <w:basedOn w:val="Normal"/>
    <w:rsid w:val="003B1478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5">
    <w:name w:val="xl215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6">
    <w:name w:val="xl21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7">
    <w:name w:val="xl217"/>
    <w:basedOn w:val="Normal"/>
    <w:rsid w:val="003B1478"/>
    <w:pP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8">
    <w:name w:val="xl218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9">
    <w:name w:val="xl219"/>
    <w:basedOn w:val="Normal"/>
    <w:rsid w:val="006B6BBB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0">
    <w:name w:val="xl220"/>
    <w:basedOn w:val="Normal"/>
    <w:rsid w:val="006B6BBB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21">
    <w:name w:val="xl221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2">
    <w:name w:val="xl222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3">
    <w:name w:val="xl223"/>
    <w:basedOn w:val="Normal"/>
    <w:rsid w:val="006B6BBB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4">
    <w:name w:val="xl224"/>
    <w:basedOn w:val="Normal"/>
    <w:rsid w:val="006B6BBB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1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customStyle="1" w:styleId="Normal1">
    <w:name w:val="Normal1"/>
    <w:uiPriority w:val="99"/>
    <w:rsid w:val="00760B3C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75E4-91FD-4E92-83E3-D931E01D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10395</Words>
  <Characters>67211</Characters>
  <Application>Microsoft Office Word</Application>
  <DocSecurity>0</DocSecurity>
  <Lines>560</Lines>
  <Paragraphs>154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77452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128</cp:revision>
  <cp:lastPrinted>2023-01-03T13:21:00Z</cp:lastPrinted>
  <dcterms:created xsi:type="dcterms:W3CDTF">2021-11-16T11:57:00Z</dcterms:created>
  <dcterms:modified xsi:type="dcterms:W3CDTF">2023-01-19T10:12:00Z</dcterms:modified>
</cp:coreProperties>
</file>