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C34F" w14:textId="10DFFCD4" w:rsidR="001D434A" w:rsidRDefault="001D434A" w:rsidP="001D434A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5619E61" wp14:editId="463C42EB">
            <wp:extent cx="466725" cy="600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71227FE5" w14:textId="77777777" w:rsidR="001D434A" w:rsidRDefault="001D434A" w:rsidP="001D434A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539157FF" w14:textId="77777777" w:rsidR="001D434A" w:rsidRDefault="001D434A" w:rsidP="001D434A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09E9A962" w14:textId="77777777" w:rsidR="001D434A" w:rsidRDefault="001D434A" w:rsidP="001D434A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6413BC9D" w14:textId="77777777" w:rsidR="001D434A" w:rsidRDefault="001D434A" w:rsidP="001D434A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6437ACB9" w14:textId="77777777" w:rsidR="001D434A" w:rsidRDefault="001D434A" w:rsidP="001D434A">
      <w:pPr>
        <w:rPr>
          <w:rFonts w:ascii="Times New Roman" w:hAnsi="Times New Roman" w:cs="Times New Roman"/>
          <w:noProof/>
          <w:sz w:val="24"/>
          <w:szCs w:val="24"/>
        </w:rPr>
      </w:pPr>
    </w:p>
    <w:p w14:paraId="46EA1F4E" w14:textId="77777777" w:rsidR="001D434A" w:rsidRDefault="001D434A" w:rsidP="001D434A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1EBFD4F8" w14:textId="77777777" w:rsidR="001D434A" w:rsidRDefault="001D434A" w:rsidP="001D434A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4059FB92" w14:textId="77777777" w:rsidR="001D434A" w:rsidRDefault="001D434A" w:rsidP="001D434A">
      <w:pPr>
        <w:rPr>
          <w:rFonts w:ascii="Times New Roman" w:hAnsi="Times New Roman" w:cs="Times New Roman"/>
          <w:noProof/>
          <w:sz w:val="24"/>
          <w:szCs w:val="24"/>
        </w:rPr>
      </w:pPr>
    </w:p>
    <w:p w14:paraId="5714E2D5" w14:textId="77777777" w:rsidR="001D434A" w:rsidRDefault="001D434A" w:rsidP="001D434A">
      <w:pPr>
        <w:rPr>
          <w:rFonts w:ascii="Times New Roman" w:hAnsi="Times New Roman" w:cs="Times New Roman"/>
          <w:noProof/>
          <w:sz w:val="24"/>
          <w:szCs w:val="24"/>
        </w:rPr>
      </w:pPr>
    </w:p>
    <w:p w14:paraId="574EFA91" w14:textId="77777777" w:rsidR="001D434A" w:rsidRDefault="001D434A" w:rsidP="001D434A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>Prijedlog IV Izmjena i dopuna Odluke o koeficijentima za obračun plaće službenicima i namještenicima</w:t>
      </w:r>
    </w:p>
    <w:p w14:paraId="0BEF69D1" w14:textId="77777777" w:rsidR="001D434A" w:rsidRDefault="001D434A" w:rsidP="001D434A">
      <w:pPr>
        <w:rPr>
          <w:rFonts w:ascii="Times New Roman" w:hAnsi="Times New Roman" w:cs="Times New Roman"/>
          <w:noProof/>
          <w:sz w:val="24"/>
          <w:szCs w:val="24"/>
        </w:rPr>
      </w:pPr>
    </w:p>
    <w:p w14:paraId="7ABB21EE" w14:textId="77777777" w:rsidR="001D434A" w:rsidRDefault="001D434A" w:rsidP="001D434A">
      <w:pPr>
        <w:spacing w:after="0" w:line="240" w:lineRule="auto"/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  <w:t>Zakon o plaćama u lokalnoj i područnoj (regionalnoj) samoupravi, Statut Općine Podstrana</w:t>
      </w:r>
    </w:p>
    <w:p w14:paraId="7811B1B3" w14:textId="77777777" w:rsidR="001D434A" w:rsidRDefault="001D434A" w:rsidP="001D434A">
      <w:pPr>
        <w:spacing w:after="0" w:line="240" w:lineRule="auto"/>
        <w:ind w:left="4950" w:hanging="4950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</w:p>
    <w:p w14:paraId="59DB252C" w14:textId="77777777" w:rsidR="001D434A" w:rsidRDefault="001D434A" w:rsidP="001D434A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72E00A5" w14:textId="77777777" w:rsidR="001D434A" w:rsidRDefault="001D434A" w:rsidP="001D434A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4ADB96DA" w14:textId="77777777" w:rsidR="001D434A" w:rsidRDefault="001D434A" w:rsidP="001D434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65370C06" w14:textId="77777777" w:rsidR="001D434A" w:rsidRDefault="001D434A" w:rsidP="001D434A">
      <w:pPr>
        <w:rPr>
          <w:rFonts w:ascii="Times New Roman" w:hAnsi="Times New Roman" w:cs="Times New Roman"/>
          <w:noProof/>
          <w:sz w:val="24"/>
          <w:szCs w:val="24"/>
        </w:rPr>
      </w:pPr>
    </w:p>
    <w:p w14:paraId="0BD5326D" w14:textId="77777777" w:rsidR="001D434A" w:rsidRDefault="001D434A" w:rsidP="001D434A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CFC36D3" w14:textId="77777777" w:rsidR="001D434A" w:rsidRDefault="001D434A" w:rsidP="001D434A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 </w:t>
      </w:r>
    </w:p>
    <w:p w14:paraId="42CFEB1C" w14:textId="7BF3011E" w:rsidR="001D434A" w:rsidRDefault="001D434A" w:rsidP="001D434A">
      <w:pPr>
        <w:rPr>
          <w:rFonts w:ascii="Times New Roman" w:hAnsi="Times New Roman" w:cs="Times New Roman"/>
          <w:noProof/>
          <w:sz w:val="24"/>
          <w:szCs w:val="24"/>
        </w:rPr>
      </w:pPr>
    </w:p>
    <w:p w14:paraId="347ECD44" w14:textId="7F957CCC" w:rsidR="001D434A" w:rsidRDefault="001D434A" w:rsidP="001D434A">
      <w:pPr>
        <w:rPr>
          <w:rFonts w:ascii="Times New Roman" w:hAnsi="Times New Roman" w:cs="Times New Roman"/>
          <w:noProof/>
          <w:sz w:val="24"/>
          <w:szCs w:val="24"/>
        </w:rPr>
      </w:pPr>
    </w:p>
    <w:p w14:paraId="24E188CF" w14:textId="7B4A39D9" w:rsidR="001D434A" w:rsidRDefault="001D434A" w:rsidP="001D434A">
      <w:pPr>
        <w:rPr>
          <w:rFonts w:ascii="Times New Roman" w:hAnsi="Times New Roman" w:cs="Times New Roman"/>
          <w:noProof/>
          <w:sz w:val="24"/>
          <w:szCs w:val="24"/>
        </w:rPr>
      </w:pPr>
    </w:p>
    <w:p w14:paraId="699A3310" w14:textId="5BA5E91E" w:rsidR="001D434A" w:rsidRDefault="001D434A" w:rsidP="001D434A">
      <w:pPr>
        <w:rPr>
          <w:rFonts w:ascii="Times New Roman" w:hAnsi="Times New Roman" w:cs="Times New Roman"/>
          <w:noProof/>
          <w:sz w:val="24"/>
          <w:szCs w:val="24"/>
        </w:rPr>
      </w:pPr>
    </w:p>
    <w:p w14:paraId="06ED0ADB" w14:textId="4EC616B3" w:rsidR="001D434A" w:rsidRDefault="001D434A" w:rsidP="001D434A">
      <w:pPr>
        <w:rPr>
          <w:rFonts w:ascii="Times New Roman" w:hAnsi="Times New Roman" w:cs="Times New Roman"/>
          <w:noProof/>
          <w:sz w:val="24"/>
          <w:szCs w:val="24"/>
        </w:rPr>
      </w:pPr>
    </w:p>
    <w:p w14:paraId="2061B223" w14:textId="5EFBABC6" w:rsidR="001D434A" w:rsidRDefault="001D434A" w:rsidP="001D434A">
      <w:pPr>
        <w:rPr>
          <w:rFonts w:ascii="Times New Roman" w:hAnsi="Times New Roman" w:cs="Times New Roman"/>
          <w:noProof/>
          <w:sz w:val="24"/>
          <w:szCs w:val="24"/>
        </w:rPr>
      </w:pPr>
    </w:p>
    <w:p w14:paraId="77F9BA92" w14:textId="4277659B" w:rsidR="001D434A" w:rsidRDefault="001D434A" w:rsidP="001D434A">
      <w:pPr>
        <w:rPr>
          <w:rFonts w:ascii="Times New Roman" w:hAnsi="Times New Roman" w:cs="Times New Roman"/>
          <w:noProof/>
          <w:sz w:val="24"/>
          <w:szCs w:val="24"/>
        </w:rPr>
      </w:pPr>
    </w:p>
    <w:p w14:paraId="7981BACE" w14:textId="00E86654" w:rsidR="001D434A" w:rsidRDefault="001D434A" w:rsidP="001D434A">
      <w:pPr>
        <w:rPr>
          <w:rFonts w:ascii="Times New Roman" w:hAnsi="Times New Roman" w:cs="Times New Roman"/>
          <w:noProof/>
          <w:sz w:val="24"/>
          <w:szCs w:val="24"/>
        </w:rPr>
      </w:pPr>
    </w:p>
    <w:p w14:paraId="6EAA50CC" w14:textId="77777777" w:rsidR="001D434A" w:rsidRDefault="001D434A" w:rsidP="001D434A">
      <w:pPr>
        <w:rPr>
          <w:rFonts w:ascii="Times New Roman" w:hAnsi="Times New Roman" w:cs="Times New Roman"/>
          <w:noProof/>
          <w:sz w:val="24"/>
          <w:szCs w:val="24"/>
        </w:rPr>
      </w:pPr>
    </w:p>
    <w:p w14:paraId="2B272D0D" w14:textId="77777777" w:rsidR="00F542B6" w:rsidRDefault="00F542B6" w:rsidP="00F542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240AA6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240AA6"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 w:rsidRPr="00240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AA6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240AA6">
        <w:rPr>
          <w:rFonts w:ascii="Times New Roman" w:hAnsi="Times New Roman" w:cs="Times New Roman"/>
          <w:sz w:val="24"/>
          <w:szCs w:val="24"/>
        </w:rPr>
        <w:t xml:space="preserve"> 10. </w:t>
      </w:r>
      <w:proofErr w:type="spellStart"/>
      <w:r w:rsidRPr="00240AA6">
        <w:rPr>
          <w:rFonts w:ascii="Times New Roman" w:hAnsi="Times New Roman" w:cs="Times New Roman"/>
          <w:sz w:val="24"/>
          <w:szCs w:val="24"/>
        </w:rPr>
        <w:t>stavak</w:t>
      </w:r>
      <w:proofErr w:type="spellEnd"/>
      <w:r w:rsidRPr="00240AA6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plaćama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lokalnoj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područnoj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regionalnoj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samoupravi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novine”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28/10)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D0C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Podstrana (“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Podstrana”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07/21, 21/21)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Podstrana,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načelnika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10.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održanoj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28. </w:t>
      </w:r>
      <w:proofErr w:type="spellStart"/>
      <w:r>
        <w:rPr>
          <w:rFonts w:ascii="Times New Roman" w:hAnsi="Times New Roman" w:cs="Times New Roman"/>
          <w:sz w:val="24"/>
          <w:szCs w:val="24"/>
        </w:rPr>
        <w:t>srpnja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donosi</w:t>
      </w:r>
      <w:proofErr w:type="spellEnd"/>
    </w:p>
    <w:p w14:paraId="18F823B1" w14:textId="77777777" w:rsidR="00F542B6" w:rsidRDefault="00F542B6" w:rsidP="00F542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7DFA39" w14:textId="77777777" w:rsidR="00F542B6" w:rsidRPr="00240AA6" w:rsidRDefault="00F542B6" w:rsidP="00F542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AA6">
        <w:rPr>
          <w:rFonts w:ascii="Times New Roman" w:hAnsi="Times New Roman" w:cs="Times New Roman"/>
          <w:b/>
          <w:bCs/>
          <w:sz w:val="24"/>
          <w:szCs w:val="24"/>
        </w:rPr>
        <w:t>IV IZMJENE I DOPUNE ODLUKE</w:t>
      </w:r>
    </w:p>
    <w:p w14:paraId="35F503AC" w14:textId="77777777" w:rsidR="00F542B6" w:rsidRDefault="00F542B6" w:rsidP="00F542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AA6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proofErr w:type="spellStart"/>
      <w:r w:rsidRPr="00240AA6">
        <w:rPr>
          <w:rFonts w:ascii="Times New Roman" w:hAnsi="Times New Roman" w:cs="Times New Roman"/>
          <w:b/>
          <w:bCs/>
          <w:sz w:val="24"/>
          <w:szCs w:val="24"/>
        </w:rPr>
        <w:t>koeficijentima</w:t>
      </w:r>
      <w:proofErr w:type="spellEnd"/>
      <w:r w:rsidRPr="00240AA6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 w:rsidRPr="00240AA6">
        <w:rPr>
          <w:rFonts w:ascii="Times New Roman" w:hAnsi="Times New Roman" w:cs="Times New Roman"/>
          <w:b/>
          <w:bCs/>
          <w:sz w:val="24"/>
          <w:szCs w:val="24"/>
        </w:rPr>
        <w:t>obračun</w:t>
      </w:r>
      <w:proofErr w:type="spellEnd"/>
      <w:r w:rsidRPr="00240A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0AA6">
        <w:rPr>
          <w:rFonts w:ascii="Times New Roman" w:hAnsi="Times New Roman" w:cs="Times New Roman"/>
          <w:b/>
          <w:bCs/>
          <w:sz w:val="24"/>
          <w:szCs w:val="24"/>
        </w:rPr>
        <w:t>plaće</w:t>
      </w:r>
      <w:proofErr w:type="spellEnd"/>
      <w:r w:rsidRPr="00240A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0AA6">
        <w:rPr>
          <w:rFonts w:ascii="Times New Roman" w:hAnsi="Times New Roman" w:cs="Times New Roman"/>
          <w:b/>
          <w:bCs/>
          <w:sz w:val="24"/>
          <w:szCs w:val="24"/>
        </w:rPr>
        <w:t>službenika</w:t>
      </w:r>
      <w:proofErr w:type="spellEnd"/>
      <w:r w:rsidRPr="00240A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0AA6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240A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0AA6">
        <w:rPr>
          <w:rFonts w:ascii="Times New Roman" w:hAnsi="Times New Roman" w:cs="Times New Roman"/>
          <w:b/>
          <w:bCs/>
          <w:sz w:val="24"/>
          <w:szCs w:val="24"/>
        </w:rPr>
        <w:t>namještenika</w:t>
      </w:r>
      <w:proofErr w:type="spellEnd"/>
    </w:p>
    <w:p w14:paraId="139AA259" w14:textId="77777777" w:rsidR="00F542B6" w:rsidRDefault="00F542B6" w:rsidP="00F542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52F80A" w14:textId="77777777" w:rsidR="00F542B6" w:rsidRDefault="00F542B6" w:rsidP="00F542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26AF4" w14:textId="77777777" w:rsidR="00F542B6" w:rsidRDefault="00F542B6" w:rsidP="00F542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Članak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</w:p>
    <w:p w14:paraId="37CDEBE2" w14:textId="77777777" w:rsidR="00F542B6" w:rsidRDefault="00F542B6" w:rsidP="00F54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koeficijentima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obračun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namještenika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Podstrana”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35/17, 35/18, 05/19, 22/20) u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r>
        <w:rPr>
          <w:rFonts w:ascii="Times New Roman" w:hAnsi="Times New Roman" w:cs="Times New Roman"/>
          <w:sz w:val="24"/>
          <w:szCs w:val="24"/>
        </w:rPr>
        <w:t>stavak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1.iza </w:t>
      </w:r>
      <w:proofErr w:type="spellStart"/>
      <w:r>
        <w:rPr>
          <w:rFonts w:ascii="Times New Roman" w:hAnsi="Times New Roman" w:cs="Times New Roman"/>
          <w:sz w:val="24"/>
          <w:szCs w:val="24"/>
        </w:rPr>
        <w:t>točke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13. </w:t>
      </w:r>
      <w:proofErr w:type="spellStart"/>
      <w:r>
        <w:rPr>
          <w:rFonts w:ascii="Times New Roman" w:hAnsi="Times New Roman" w:cs="Times New Roman"/>
          <w:sz w:val="24"/>
          <w:szCs w:val="24"/>
        </w:rPr>
        <w:t>dodaju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točke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14.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15.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glase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1DEFD63" w14:textId="77777777" w:rsidR="00F542B6" w:rsidRDefault="00F542B6" w:rsidP="00F54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"/>
        <w:gridCol w:w="2255"/>
        <w:gridCol w:w="2808"/>
        <w:gridCol w:w="1789"/>
        <w:gridCol w:w="1788"/>
      </w:tblGrid>
      <w:tr w:rsidR="00F542B6" w:rsidRPr="00B2796F" w14:paraId="76D610F4" w14:textId="77777777" w:rsidTr="00826424">
        <w:tc>
          <w:tcPr>
            <w:tcW w:w="710" w:type="dxa"/>
          </w:tcPr>
          <w:p w14:paraId="12ABB953" w14:textId="77777777" w:rsidR="00F542B6" w:rsidRPr="00B2796F" w:rsidRDefault="00F542B6" w:rsidP="0082642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279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R.br.</w:t>
            </w:r>
          </w:p>
        </w:tc>
        <w:tc>
          <w:tcPr>
            <w:tcW w:w="2255" w:type="dxa"/>
          </w:tcPr>
          <w:p w14:paraId="60F17074" w14:textId="77777777" w:rsidR="00F542B6" w:rsidRPr="00B2796F" w:rsidRDefault="00F542B6" w:rsidP="008264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B2796F">
              <w:rPr>
                <w:rFonts w:ascii="Times New Roman" w:hAnsi="Times New Roman" w:cs="Times New Roman"/>
                <w:b/>
                <w:bCs/>
                <w:i/>
                <w:iCs/>
              </w:rPr>
              <w:t>Potkategorija</w:t>
            </w:r>
            <w:proofErr w:type="spellEnd"/>
            <w:r w:rsidRPr="00B2796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B2796F">
              <w:rPr>
                <w:rFonts w:ascii="Times New Roman" w:hAnsi="Times New Roman" w:cs="Times New Roman"/>
                <w:b/>
                <w:bCs/>
                <w:i/>
                <w:iCs/>
              </w:rPr>
              <w:t>radnog</w:t>
            </w:r>
            <w:proofErr w:type="spellEnd"/>
          </w:p>
          <w:p w14:paraId="29740109" w14:textId="77777777" w:rsidR="00F542B6" w:rsidRPr="00B2796F" w:rsidRDefault="00F542B6" w:rsidP="008264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B2796F">
              <w:rPr>
                <w:rFonts w:ascii="Times New Roman" w:hAnsi="Times New Roman" w:cs="Times New Roman"/>
                <w:b/>
                <w:bCs/>
                <w:i/>
                <w:iCs/>
              </w:rPr>
              <w:t>mjesta</w:t>
            </w:r>
            <w:proofErr w:type="spellEnd"/>
          </w:p>
        </w:tc>
        <w:tc>
          <w:tcPr>
            <w:tcW w:w="2808" w:type="dxa"/>
          </w:tcPr>
          <w:p w14:paraId="62588983" w14:textId="77777777" w:rsidR="00F542B6" w:rsidRPr="00B2796F" w:rsidRDefault="00F542B6" w:rsidP="008264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B279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Naziv</w:t>
            </w:r>
            <w:proofErr w:type="spellEnd"/>
            <w:r w:rsidRPr="00B279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279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radnog</w:t>
            </w:r>
            <w:proofErr w:type="spellEnd"/>
            <w:r w:rsidRPr="00B279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279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mjesta</w:t>
            </w:r>
            <w:proofErr w:type="spellEnd"/>
          </w:p>
        </w:tc>
        <w:tc>
          <w:tcPr>
            <w:tcW w:w="1789" w:type="dxa"/>
          </w:tcPr>
          <w:p w14:paraId="79A05F39" w14:textId="77777777" w:rsidR="00F542B6" w:rsidRPr="00B2796F" w:rsidRDefault="00F542B6" w:rsidP="008264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B279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Klasifikacijski</w:t>
            </w:r>
            <w:proofErr w:type="spellEnd"/>
          </w:p>
          <w:p w14:paraId="1871F87C" w14:textId="77777777" w:rsidR="00F542B6" w:rsidRPr="00B2796F" w:rsidRDefault="00F542B6" w:rsidP="008264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279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rang</w:t>
            </w:r>
          </w:p>
        </w:tc>
        <w:tc>
          <w:tcPr>
            <w:tcW w:w="1788" w:type="dxa"/>
          </w:tcPr>
          <w:p w14:paraId="67565A60" w14:textId="77777777" w:rsidR="00F542B6" w:rsidRPr="00B2796F" w:rsidRDefault="00F542B6" w:rsidP="008264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B279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</w:p>
        </w:tc>
      </w:tr>
    </w:tbl>
    <w:p w14:paraId="0D55590E" w14:textId="77777777" w:rsidR="00F542B6" w:rsidRDefault="00F542B6" w:rsidP="00F54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250"/>
        <w:gridCol w:w="2880"/>
        <w:gridCol w:w="1635"/>
        <w:gridCol w:w="1870"/>
      </w:tblGrid>
      <w:tr w:rsidR="00F542B6" w14:paraId="32CE4B17" w14:textId="77777777" w:rsidTr="00826424">
        <w:tc>
          <w:tcPr>
            <w:tcW w:w="715" w:type="dxa"/>
          </w:tcPr>
          <w:p w14:paraId="1E461DAB" w14:textId="77777777" w:rsidR="00F542B6" w:rsidRDefault="00F542B6" w:rsidP="00826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CE9B7" w14:textId="77777777" w:rsidR="00F542B6" w:rsidRDefault="00F542B6" w:rsidP="00826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EB49F" w14:textId="77777777" w:rsidR="00F542B6" w:rsidRDefault="00F542B6" w:rsidP="00826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14:paraId="75F418DE" w14:textId="77777777" w:rsidR="00F542B6" w:rsidRDefault="00F542B6" w:rsidP="00826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AFD14" w14:textId="77777777" w:rsidR="00F542B6" w:rsidRDefault="00F542B6" w:rsidP="00826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14:paraId="137BA8A2" w14:textId="77777777" w:rsidR="00F542B6" w:rsidRDefault="00F542B6" w:rsidP="00826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A010374" w14:textId="77777777" w:rsidR="00F542B6" w:rsidRDefault="00F542B6" w:rsidP="00826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stručni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suradnik</w:t>
            </w:r>
            <w:proofErr w:type="spellEnd"/>
          </w:p>
        </w:tc>
        <w:tc>
          <w:tcPr>
            <w:tcW w:w="2880" w:type="dxa"/>
          </w:tcPr>
          <w:p w14:paraId="63EE403F" w14:textId="77777777" w:rsidR="00F542B6" w:rsidRDefault="00F542B6" w:rsidP="00826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39930" w14:textId="77777777" w:rsidR="00F542B6" w:rsidRDefault="00F542B6" w:rsidP="00826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stručni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suradnik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</w:p>
          <w:p w14:paraId="5EB89A48" w14:textId="77777777" w:rsidR="00F542B6" w:rsidRDefault="00F542B6" w:rsidP="00826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pravne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poslove</w:t>
            </w:r>
            <w:proofErr w:type="spellEnd"/>
          </w:p>
          <w:p w14:paraId="6B039FCF" w14:textId="77777777" w:rsidR="00F542B6" w:rsidRDefault="00F542B6" w:rsidP="00826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6B85F" w14:textId="77777777" w:rsidR="00F542B6" w:rsidRDefault="00F542B6" w:rsidP="00826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stručni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suradnik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javnu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nabavu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fondove</w:t>
            </w:r>
            <w:proofErr w:type="spellEnd"/>
          </w:p>
        </w:tc>
        <w:tc>
          <w:tcPr>
            <w:tcW w:w="1635" w:type="dxa"/>
          </w:tcPr>
          <w:p w14:paraId="53ABC4D7" w14:textId="77777777" w:rsidR="00F542B6" w:rsidRDefault="00F542B6" w:rsidP="0082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B4C03" w14:textId="77777777" w:rsidR="00F542B6" w:rsidRDefault="00F542B6" w:rsidP="0082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98FFC1C" w14:textId="77777777" w:rsidR="00F542B6" w:rsidRDefault="00F542B6" w:rsidP="0082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7A319" w14:textId="77777777" w:rsidR="00F542B6" w:rsidRDefault="00F542B6" w:rsidP="0082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8E99F" w14:textId="77777777" w:rsidR="00F542B6" w:rsidRDefault="00F542B6" w:rsidP="0082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0" w:type="dxa"/>
          </w:tcPr>
          <w:p w14:paraId="32B7560C" w14:textId="77777777" w:rsidR="00F542B6" w:rsidRDefault="00F542B6" w:rsidP="0082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CE9AB" w14:textId="77777777" w:rsidR="00F542B6" w:rsidRDefault="00F542B6" w:rsidP="0082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  <w:p w14:paraId="734D20C1" w14:textId="77777777" w:rsidR="00F542B6" w:rsidRDefault="00F542B6" w:rsidP="0082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E91EF" w14:textId="77777777" w:rsidR="00F542B6" w:rsidRDefault="00F542B6" w:rsidP="0082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1678D" w14:textId="77777777" w:rsidR="00F542B6" w:rsidRDefault="00F542B6" w:rsidP="0082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</w:tr>
    </w:tbl>
    <w:p w14:paraId="2F23740B" w14:textId="77777777" w:rsidR="00F542B6" w:rsidRDefault="00F542B6" w:rsidP="00F54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796CB" w14:textId="77777777" w:rsidR="00F542B6" w:rsidRDefault="00F542B6" w:rsidP="00F54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0F0EB" w14:textId="77777777" w:rsidR="00F542B6" w:rsidRDefault="00F542B6" w:rsidP="00F54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Dosadašnje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14, 15, 16, 17, 18, 19, 20, 21, 22, 23, 24, 25, 26,27, 28, 29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16, 17, 18, 19, 20, 21, 22, 23, 24, 25, 26, 27, 28, 29, 30, 31.</w:t>
      </w:r>
    </w:p>
    <w:p w14:paraId="1DB734ED" w14:textId="77777777" w:rsidR="00F542B6" w:rsidRDefault="00F542B6" w:rsidP="00F54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761B80" w14:textId="77777777" w:rsidR="00F542B6" w:rsidRDefault="00F542B6" w:rsidP="00F54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9C835" w14:textId="77777777" w:rsidR="00F542B6" w:rsidRDefault="00F542B6" w:rsidP="00F542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Članak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</w:p>
    <w:p w14:paraId="40525067" w14:textId="77777777" w:rsidR="00F542B6" w:rsidRDefault="00F542B6" w:rsidP="00F54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koeficijentima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obračun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namještenika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Podstrana”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35/17, 35/18, 05/19, 22/20) u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r>
        <w:rPr>
          <w:rFonts w:ascii="Times New Roman" w:hAnsi="Times New Roman" w:cs="Times New Roman"/>
          <w:sz w:val="24"/>
          <w:szCs w:val="24"/>
        </w:rPr>
        <w:t>stavak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 u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privremeno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sistematiziranim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mjestima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mijenjaju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točke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1.a.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2.a. </w:t>
      </w:r>
      <w:proofErr w:type="spellStart"/>
      <w:r>
        <w:rPr>
          <w:rFonts w:ascii="Times New Roman" w:hAnsi="Times New Roman" w:cs="Times New Roman"/>
          <w:sz w:val="24"/>
          <w:szCs w:val="24"/>
        </w:rPr>
        <w:t>tako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glase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0E34D45" w14:textId="77777777" w:rsidR="00F542B6" w:rsidRDefault="00F542B6" w:rsidP="00F54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"/>
        <w:gridCol w:w="2255"/>
        <w:gridCol w:w="2808"/>
        <w:gridCol w:w="1789"/>
        <w:gridCol w:w="1788"/>
      </w:tblGrid>
      <w:tr w:rsidR="00F542B6" w:rsidRPr="00B2796F" w14:paraId="0AA8F3B7" w14:textId="77777777" w:rsidTr="00826424">
        <w:tc>
          <w:tcPr>
            <w:tcW w:w="710" w:type="dxa"/>
          </w:tcPr>
          <w:p w14:paraId="1B181F58" w14:textId="77777777" w:rsidR="00F542B6" w:rsidRPr="00B2796F" w:rsidRDefault="00F542B6" w:rsidP="0082642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279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R.br.</w:t>
            </w:r>
          </w:p>
        </w:tc>
        <w:tc>
          <w:tcPr>
            <w:tcW w:w="2255" w:type="dxa"/>
          </w:tcPr>
          <w:p w14:paraId="07772D31" w14:textId="77777777" w:rsidR="00F542B6" w:rsidRPr="00B2796F" w:rsidRDefault="00F542B6" w:rsidP="008264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B2796F">
              <w:rPr>
                <w:rFonts w:ascii="Times New Roman" w:hAnsi="Times New Roman" w:cs="Times New Roman"/>
                <w:b/>
                <w:bCs/>
                <w:i/>
                <w:iCs/>
              </w:rPr>
              <w:t>Potkategorija</w:t>
            </w:r>
            <w:proofErr w:type="spellEnd"/>
            <w:r w:rsidRPr="00B2796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B2796F">
              <w:rPr>
                <w:rFonts w:ascii="Times New Roman" w:hAnsi="Times New Roman" w:cs="Times New Roman"/>
                <w:b/>
                <w:bCs/>
                <w:i/>
                <w:iCs/>
              </w:rPr>
              <w:t>radnog</w:t>
            </w:r>
            <w:proofErr w:type="spellEnd"/>
          </w:p>
          <w:p w14:paraId="020D6973" w14:textId="77777777" w:rsidR="00F542B6" w:rsidRPr="00B2796F" w:rsidRDefault="00F542B6" w:rsidP="008264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B2796F">
              <w:rPr>
                <w:rFonts w:ascii="Times New Roman" w:hAnsi="Times New Roman" w:cs="Times New Roman"/>
                <w:b/>
                <w:bCs/>
                <w:i/>
                <w:iCs/>
              </w:rPr>
              <w:t>mjesta</w:t>
            </w:r>
            <w:proofErr w:type="spellEnd"/>
          </w:p>
        </w:tc>
        <w:tc>
          <w:tcPr>
            <w:tcW w:w="2808" w:type="dxa"/>
          </w:tcPr>
          <w:p w14:paraId="5793208A" w14:textId="77777777" w:rsidR="00F542B6" w:rsidRPr="00B2796F" w:rsidRDefault="00F542B6" w:rsidP="008264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B279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Naziv</w:t>
            </w:r>
            <w:proofErr w:type="spellEnd"/>
            <w:r w:rsidRPr="00B279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279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radnog</w:t>
            </w:r>
            <w:proofErr w:type="spellEnd"/>
            <w:r w:rsidRPr="00B279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279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mjesta</w:t>
            </w:r>
            <w:proofErr w:type="spellEnd"/>
          </w:p>
        </w:tc>
        <w:tc>
          <w:tcPr>
            <w:tcW w:w="1789" w:type="dxa"/>
          </w:tcPr>
          <w:p w14:paraId="42543E14" w14:textId="77777777" w:rsidR="00F542B6" w:rsidRPr="00B2796F" w:rsidRDefault="00F542B6" w:rsidP="008264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B279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Klasifikacijski</w:t>
            </w:r>
            <w:proofErr w:type="spellEnd"/>
          </w:p>
          <w:p w14:paraId="34DE5DFB" w14:textId="77777777" w:rsidR="00F542B6" w:rsidRPr="00B2796F" w:rsidRDefault="00F542B6" w:rsidP="008264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279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rang</w:t>
            </w:r>
          </w:p>
        </w:tc>
        <w:tc>
          <w:tcPr>
            <w:tcW w:w="1788" w:type="dxa"/>
          </w:tcPr>
          <w:p w14:paraId="51C8426B" w14:textId="77777777" w:rsidR="00F542B6" w:rsidRPr="00B2796F" w:rsidRDefault="00F542B6" w:rsidP="008264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B279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</w:p>
        </w:tc>
      </w:tr>
    </w:tbl>
    <w:p w14:paraId="0E9A7C17" w14:textId="77777777" w:rsidR="00F542B6" w:rsidRDefault="00F542B6" w:rsidP="00F54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250"/>
        <w:gridCol w:w="2880"/>
        <w:gridCol w:w="1635"/>
        <w:gridCol w:w="1870"/>
      </w:tblGrid>
      <w:tr w:rsidR="00F542B6" w14:paraId="430E7E7F" w14:textId="77777777" w:rsidTr="00826424">
        <w:tc>
          <w:tcPr>
            <w:tcW w:w="715" w:type="dxa"/>
          </w:tcPr>
          <w:p w14:paraId="57973234" w14:textId="77777777" w:rsidR="00F542B6" w:rsidRDefault="00F542B6" w:rsidP="00826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DE967" w14:textId="77777777" w:rsidR="00F542B6" w:rsidRDefault="00F542B6" w:rsidP="00826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FFF91" w14:textId="77777777" w:rsidR="00F542B6" w:rsidRDefault="00F542B6" w:rsidP="00826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1.a.</w:t>
            </w:r>
          </w:p>
          <w:p w14:paraId="4A1C2DC6" w14:textId="77777777" w:rsidR="00F542B6" w:rsidRDefault="00F542B6" w:rsidP="00826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4E570" w14:textId="77777777" w:rsidR="00F542B6" w:rsidRDefault="00F542B6" w:rsidP="00826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2.a.</w:t>
            </w:r>
          </w:p>
          <w:p w14:paraId="5AB2D1BA" w14:textId="77777777" w:rsidR="00F542B6" w:rsidRDefault="00F542B6" w:rsidP="00826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924B6D2" w14:textId="77777777" w:rsidR="00F542B6" w:rsidRDefault="00F542B6" w:rsidP="00826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savjetnik</w:t>
            </w:r>
            <w:proofErr w:type="spellEnd"/>
          </w:p>
        </w:tc>
        <w:tc>
          <w:tcPr>
            <w:tcW w:w="2880" w:type="dxa"/>
          </w:tcPr>
          <w:p w14:paraId="30865F7F" w14:textId="77777777" w:rsidR="00F542B6" w:rsidRDefault="00F542B6" w:rsidP="00826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A505F" w14:textId="77777777" w:rsidR="00F542B6" w:rsidRDefault="00F542B6" w:rsidP="00826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savjetnik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upravljanje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</w:t>
            </w:r>
          </w:p>
          <w:p w14:paraId="5CBA200E" w14:textId="77777777" w:rsidR="00F542B6" w:rsidRDefault="00F542B6" w:rsidP="00826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CA73A" w14:textId="77777777" w:rsidR="00F542B6" w:rsidRDefault="00F542B6" w:rsidP="00826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savjetnik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koordinaciju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</w:t>
            </w:r>
          </w:p>
        </w:tc>
        <w:tc>
          <w:tcPr>
            <w:tcW w:w="1635" w:type="dxa"/>
          </w:tcPr>
          <w:p w14:paraId="42585CB9" w14:textId="77777777" w:rsidR="00F542B6" w:rsidRDefault="00F542B6" w:rsidP="0082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9FA66" w14:textId="77777777" w:rsidR="00F542B6" w:rsidRDefault="00F542B6" w:rsidP="0082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538090C" w14:textId="77777777" w:rsidR="00F542B6" w:rsidRDefault="00F542B6" w:rsidP="0082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00414" w14:textId="77777777" w:rsidR="00F542B6" w:rsidRDefault="00F542B6" w:rsidP="0082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92A57" w14:textId="77777777" w:rsidR="00F542B6" w:rsidRDefault="00F542B6" w:rsidP="0082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14:paraId="638A127D" w14:textId="77777777" w:rsidR="00F542B6" w:rsidRDefault="00F542B6" w:rsidP="0082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42FCF" w14:textId="77777777" w:rsidR="00F542B6" w:rsidRDefault="00F542B6" w:rsidP="0082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  <w:p w14:paraId="2CDAEF58" w14:textId="77777777" w:rsidR="00F542B6" w:rsidRDefault="00F542B6" w:rsidP="0082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CBFF5" w14:textId="77777777" w:rsidR="00F542B6" w:rsidRDefault="00F542B6" w:rsidP="0082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D14A9" w14:textId="77777777" w:rsidR="00F542B6" w:rsidRDefault="00F542B6" w:rsidP="0082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</w:tr>
    </w:tbl>
    <w:p w14:paraId="1E17A595" w14:textId="77777777" w:rsidR="00F542B6" w:rsidRDefault="00F542B6" w:rsidP="00F54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37F7A2" w14:textId="77777777" w:rsidR="00F542B6" w:rsidRDefault="00F542B6" w:rsidP="00F54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3C5A9" w14:textId="77777777" w:rsidR="00F542B6" w:rsidRPr="00CE3D0C" w:rsidRDefault="00F542B6" w:rsidP="00F542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E3D0C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</w:t>
      </w:r>
      <w:proofErr w:type="spellEnd"/>
      <w:r w:rsidRPr="00CE3D0C">
        <w:rPr>
          <w:rFonts w:ascii="Times New Roman" w:hAnsi="Times New Roman" w:cs="Times New Roman"/>
          <w:b/>
          <w:bCs/>
          <w:sz w:val="24"/>
          <w:szCs w:val="24"/>
        </w:rPr>
        <w:t xml:space="preserve"> 3.</w:t>
      </w:r>
    </w:p>
    <w:p w14:paraId="2962CCFF" w14:textId="77777777" w:rsidR="00F542B6" w:rsidRDefault="00F542B6" w:rsidP="00F54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 IV </w:t>
      </w:r>
      <w:proofErr w:type="spellStart"/>
      <w:r>
        <w:rPr>
          <w:rFonts w:ascii="Times New Roman" w:hAnsi="Times New Roman" w:cs="Times New Roman"/>
          <w:sz w:val="24"/>
          <w:szCs w:val="24"/>
        </w:rPr>
        <w:t>Izmjene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koeficijentima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obračun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namještenika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stupaju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snagu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osmog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od 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glasniku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Podstrana”.</w:t>
      </w:r>
    </w:p>
    <w:p w14:paraId="4E5F1BFE" w14:textId="77777777" w:rsidR="00F542B6" w:rsidRDefault="00F542B6" w:rsidP="00F54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1B272" w14:textId="77777777" w:rsidR="00F542B6" w:rsidRDefault="00F542B6" w:rsidP="00F54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78AB7" w14:textId="77777777" w:rsidR="00F542B6" w:rsidRDefault="00F542B6" w:rsidP="00F54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17D60" w14:textId="77777777" w:rsidR="00F542B6" w:rsidRDefault="00F542B6" w:rsidP="00F542B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KLASA:   024-02/22-01/06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Predsjednik</w:t>
      </w:r>
      <w:proofErr w:type="spellEnd"/>
    </w:p>
    <w:p w14:paraId="70F39F1E" w14:textId="77777777" w:rsidR="00F542B6" w:rsidRDefault="00F542B6" w:rsidP="00F542B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URBROJ: 2181-39-1-22-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Općinskog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vijeća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14:paraId="4D2C3A88" w14:textId="77777777" w:rsidR="00F542B6" w:rsidRDefault="00F542B6" w:rsidP="00F542B6"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Podstrana, 28.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srpnja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2022.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godine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>Tomislav Buljan</w:t>
      </w:r>
    </w:p>
    <w:p w14:paraId="34CE5E54" w14:textId="77777777" w:rsidR="00F542B6" w:rsidRDefault="00F542B6" w:rsidP="00F54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59E12" w14:textId="77777777" w:rsidR="00F542B6" w:rsidRDefault="00F542B6" w:rsidP="00F54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E0569" w14:textId="77777777" w:rsidR="00F542B6" w:rsidRDefault="00F542B6" w:rsidP="00F54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26424" w14:textId="77777777" w:rsidR="00F542B6" w:rsidRPr="00240AA6" w:rsidRDefault="00F542B6" w:rsidP="00F54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0DC0C" w14:textId="54786822" w:rsidR="00CE3D0C" w:rsidRPr="00240AA6" w:rsidRDefault="00CE3D0C" w:rsidP="00240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E3D0C" w:rsidRPr="00240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C96"/>
    <w:rsid w:val="00061F1E"/>
    <w:rsid w:val="001D434A"/>
    <w:rsid w:val="002065A0"/>
    <w:rsid w:val="00240AA6"/>
    <w:rsid w:val="00286127"/>
    <w:rsid w:val="0059500C"/>
    <w:rsid w:val="008462DA"/>
    <w:rsid w:val="00B2796F"/>
    <w:rsid w:val="00B56ACF"/>
    <w:rsid w:val="00C06A0B"/>
    <w:rsid w:val="00CE0FB2"/>
    <w:rsid w:val="00CE3D0C"/>
    <w:rsid w:val="00F53C96"/>
    <w:rsid w:val="00F542B6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0CE9C"/>
  <w15:chartTrackingRefBased/>
  <w15:docId w15:val="{1DFDF503-097F-4403-AAD1-55ADE797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6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1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5</cp:revision>
  <dcterms:created xsi:type="dcterms:W3CDTF">2022-07-19T10:51:00Z</dcterms:created>
  <dcterms:modified xsi:type="dcterms:W3CDTF">2022-07-21T05:24:00Z</dcterms:modified>
</cp:coreProperties>
</file>