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0410" w14:textId="77777777" w:rsidR="00BC2BFD" w:rsidRPr="00013E94" w:rsidRDefault="00BC2BFD" w:rsidP="00BC2BFD">
      <w:pPr>
        <w:ind w:firstLine="0"/>
        <w:rPr>
          <w:b/>
        </w:rPr>
      </w:pPr>
      <w:r>
        <w:rPr>
          <w:b/>
        </w:rPr>
        <w:t xml:space="preserve">PREDMET: </w:t>
      </w:r>
      <w:r w:rsidRPr="00013E94">
        <w:rPr>
          <w:b/>
        </w:rPr>
        <w:t>OBRAZLOŽENJE</w:t>
      </w:r>
      <w:r>
        <w:rPr>
          <w:b/>
        </w:rPr>
        <w:t xml:space="preserve"> ODLUKE O SOCIJALNOJ SKRBI  OPĆINE PODSTRANA</w:t>
      </w:r>
    </w:p>
    <w:p w14:paraId="6CABAF4E" w14:textId="77777777" w:rsidR="00BC2BFD" w:rsidRPr="00013E94" w:rsidRDefault="00BC2BFD" w:rsidP="00BC2BFD">
      <w:pPr>
        <w:rPr>
          <w:b/>
        </w:rPr>
      </w:pPr>
    </w:p>
    <w:p w14:paraId="117126D8" w14:textId="77777777" w:rsidR="00BC2BFD" w:rsidRDefault="00BC2BFD" w:rsidP="00BC2BFD"/>
    <w:p w14:paraId="3CEBE856" w14:textId="77777777" w:rsidR="00BC2BFD" w:rsidRDefault="00BC2BFD" w:rsidP="00BC2BFD">
      <w:r>
        <w:t xml:space="preserve">Nova Odluka o socijalnoj skrbi suštinski se ne razlikuje previše od važeće Odluke. Ima nekoliko značajnijih izmjena, a većina je pak korektivne prirode što znači da je jasnije oblikovan tekst. </w:t>
      </w:r>
    </w:p>
    <w:p w14:paraId="413D0A1A" w14:textId="77777777" w:rsidR="00BC2BFD" w:rsidRDefault="00BC2BFD" w:rsidP="00BC2BFD">
      <w:r>
        <w:t>S obzirom da smo imali već tri izmjene i dopune važeće Odluke o socijalnoj skrbi, a sada imamo još nekoliko značajnijih izmjena i neke manje korekcije, implementirali smo sve navedeno u  novu Odluku kako bismo se svi lakše snalazili.</w:t>
      </w:r>
    </w:p>
    <w:p w14:paraId="5DB95FA2" w14:textId="77777777" w:rsidR="00BC2BFD" w:rsidRDefault="00BC2BFD" w:rsidP="00BC2BFD"/>
    <w:p w14:paraId="2B96C20A" w14:textId="77777777" w:rsidR="00BC2BFD" w:rsidRDefault="00BC2BFD" w:rsidP="00BC2BFD">
      <w:r>
        <w:t xml:space="preserve">U novoj Odluci o socijalnoj skrbi </w:t>
      </w:r>
      <w:r w:rsidRPr="006E070D">
        <w:rPr>
          <w:b/>
        </w:rPr>
        <w:t>značajnije izmjene su</w:t>
      </w:r>
      <w:r>
        <w:t>:</w:t>
      </w:r>
    </w:p>
    <w:p w14:paraId="519EBA98" w14:textId="77777777" w:rsidR="00BC2BFD" w:rsidRDefault="00BC2BFD" w:rsidP="00BC2BFD"/>
    <w:p w14:paraId="51694590" w14:textId="77777777" w:rsidR="00BC2BFD" w:rsidRPr="00A2685E" w:rsidRDefault="00BC2BFD" w:rsidP="00BC2BFD">
      <w:pPr>
        <w:numPr>
          <w:ilvl w:val="0"/>
          <w:numId w:val="2"/>
        </w:numPr>
        <w:spacing w:line="240" w:lineRule="auto"/>
        <w:rPr>
          <w:color w:val="4472C4"/>
        </w:rPr>
      </w:pPr>
      <w:r w:rsidRPr="00A2685E">
        <w:rPr>
          <w:color w:val="4472C4"/>
        </w:rPr>
        <w:t xml:space="preserve">Dosadašnji članak </w:t>
      </w:r>
      <w:r w:rsidRPr="00A2685E">
        <w:rPr>
          <w:b/>
          <w:bCs/>
          <w:color w:val="4472C4"/>
        </w:rPr>
        <w:t>45</w:t>
      </w:r>
      <w:r w:rsidRPr="00A2685E">
        <w:rPr>
          <w:color w:val="4472C4"/>
        </w:rPr>
        <w:t xml:space="preserve"> je razrađen na način da su definirane visine nagrada za osvojena mjesta na natjecanjima te je povećan maksimalni iznos sufinanciranja stručnog usavršavanja s 4.000,00 na 5.000,00 kn.</w:t>
      </w:r>
    </w:p>
    <w:p w14:paraId="4E9E982D" w14:textId="77777777" w:rsidR="00BC2BFD" w:rsidRDefault="00BC2BFD" w:rsidP="00BC2BFD">
      <w:pPr>
        <w:ind w:left="720"/>
      </w:pPr>
    </w:p>
    <w:p w14:paraId="3540E1A5" w14:textId="77777777" w:rsidR="00BC2BFD" w:rsidRDefault="00BC2BFD" w:rsidP="00BC2BFD">
      <w:pPr>
        <w:ind w:left="720"/>
      </w:pPr>
      <w:r>
        <w:t xml:space="preserve">Navedeni članak u novoj Odluci glasi kako </w:t>
      </w:r>
      <w:proofErr w:type="spellStart"/>
      <w:r>
        <w:t>sljedi</w:t>
      </w:r>
      <w:proofErr w:type="spellEnd"/>
      <w:r>
        <w:t>:</w:t>
      </w:r>
    </w:p>
    <w:p w14:paraId="151D54FB" w14:textId="77777777" w:rsidR="00BC2BFD" w:rsidRDefault="00BC2BFD" w:rsidP="00BC2BFD">
      <w:pPr>
        <w:ind w:left="720"/>
      </w:pPr>
    </w:p>
    <w:p w14:paraId="2151D317" w14:textId="77777777" w:rsidR="00BC2BFD" w:rsidRPr="002154BB" w:rsidRDefault="00BC2BFD" w:rsidP="00BC2BFD">
      <w:pPr>
        <w:spacing w:line="259" w:lineRule="auto"/>
        <w:jc w:val="center"/>
        <w:rPr>
          <w:b/>
        </w:rPr>
      </w:pPr>
      <w:r w:rsidRPr="00E84A44">
        <w:t xml:space="preserve">        </w:t>
      </w:r>
      <w:r w:rsidRPr="002154BB">
        <w:rPr>
          <w:b/>
        </w:rPr>
        <w:t>Članak 45.</w:t>
      </w:r>
    </w:p>
    <w:p w14:paraId="5B1BCBC8" w14:textId="77777777" w:rsidR="00BC2BFD" w:rsidRPr="002154BB" w:rsidRDefault="00BC2BFD" w:rsidP="00BC2BFD">
      <w:pPr>
        <w:spacing w:line="259" w:lineRule="auto"/>
      </w:pPr>
      <w:r w:rsidRPr="002154BB">
        <w:t xml:space="preserve">        Za znanstveno usavršavanje i znanstveno istraživanje te za sudjelovanje nadarenih i uspješnih učenika i sportaša na županijskim, državnim i međunarodnim natjecanjima, uz uvjet plasiranja na neko od prva tri mjesta,  može se odobriti jednokratna financijska potpora, odnosno nagrada u iznosima kako </w:t>
      </w:r>
      <w:proofErr w:type="spellStart"/>
      <w:r w:rsidRPr="002154BB">
        <w:t>sljedi</w:t>
      </w:r>
      <w:proofErr w:type="spellEnd"/>
      <w:r w:rsidRPr="002154BB">
        <w:t>:</w:t>
      </w:r>
    </w:p>
    <w:p w14:paraId="54659ADC" w14:textId="77777777" w:rsidR="00BC2BFD" w:rsidRPr="002154BB" w:rsidRDefault="00BC2BFD" w:rsidP="00BC2BFD">
      <w:pPr>
        <w:spacing w:line="259" w:lineRule="auto"/>
      </w:pPr>
    </w:p>
    <w:p w14:paraId="58F2D6A4" w14:textId="77777777" w:rsidR="00BC2BFD" w:rsidRPr="002154BB" w:rsidRDefault="00BC2BFD" w:rsidP="00BC2BFD">
      <w:pPr>
        <w:numPr>
          <w:ilvl w:val="0"/>
          <w:numId w:val="1"/>
        </w:numPr>
        <w:spacing w:line="259" w:lineRule="auto"/>
      </w:pPr>
      <w:r w:rsidRPr="002154BB">
        <w:t>za osvojeno prvo mjesto na županijskom natjecanju –   2.000,00 kn</w:t>
      </w:r>
    </w:p>
    <w:p w14:paraId="772140EB" w14:textId="77777777" w:rsidR="00BC2BFD" w:rsidRPr="002154BB" w:rsidRDefault="00BC2BFD" w:rsidP="00BC2BFD">
      <w:pPr>
        <w:numPr>
          <w:ilvl w:val="0"/>
          <w:numId w:val="1"/>
        </w:numPr>
        <w:spacing w:line="259" w:lineRule="auto"/>
      </w:pPr>
      <w:r w:rsidRPr="002154BB">
        <w:t>za osvojeno drugo mjesto na županijskom natjecanju – 1.500,00 kn</w:t>
      </w:r>
    </w:p>
    <w:p w14:paraId="51C4746D" w14:textId="77777777" w:rsidR="00BC2BFD" w:rsidRPr="002154BB" w:rsidRDefault="00BC2BFD" w:rsidP="00BC2BFD">
      <w:pPr>
        <w:numPr>
          <w:ilvl w:val="0"/>
          <w:numId w:val="1"/>
        </w:numPr>
        <w:spacing w:line="259" w:lineRule="auto"/>
      </w:pPr>
      <w:r w:rsidRPr="002154BB">
        <w:t>za osvojeno treće mjesto na županijskom natjecanju –  1.000,00 kn</w:t>
      </w:r>
    </w:p>
    <w:p w14:paraId="78B35994" w14:textId="77777777" w:rsidR="00BC2BFD" w:rsidRPr="002154BB" w:rsidRDefault="00BC2BFD" w:rsidP="00BC2BFD">
      <w:pPr>
        <w:spacing w:line="259" w:lineRule="auto"/>
        <w:ind w:left="720"/>
      </w:pPr>
    </w:p>
    <w:p w14:paraId="138076C2" w14:textId="77777777" w:rsidR="00BC2BFD" w:rsidRPr="002154BB" w:rsidRDefault="00BC2BFD" w:rsidP="00BC2BFD">
      <w:pPr>
        <w:numPr>
          <w:ilvl w:val="0"/>
          <w:numId w:val="1"/>
        </w:numPr>
        <w:spacing w:line="259" w:lineRule="auto"/>
      </w:pPr>
      <w:r w:rsidRPr="002154BB">
        <w:t>za osvojeno prvo mjesto na državnom ili međunarodnom natjecanju –   5.000,00 kn</w:t>
      </w:r>
    </w:p>
    <w:p w14:paraId="4258AAD9" w14:textId="77777777" w:rsidR="00BC2BFD" w:rsidRPr="002154BB" w:rsidRDefault="00BC2BFD" w:rsidP="00BC2BFD">
      <w:pPr>
        <w:numPr>
          <w:ilvl w:val="0"/>
          <w:numId w:val="1"/>
        </w:numPr>
        <w:spacing w:line="259" w:lineRule="auto"/>
      </w:pPr>
      <w:r w:rsidRPr="002154BB">
        <w:t>za osvojeno drugo mjesto na državnom ili međunarodnom natjecanju – 4.000,00 kn</w:t>
      </w:r>
    </w:p>
    <w:p w14:paraId="5E9F0D6A" w14:textId="77777777" w:rsidR="00BC2BFD" w:rsidRPr="002154BB" w:rsidRDefault="00BC2BFD" w:rsidP="00BC2BFD">
      <w:pPr>
        <w:numPr>
          <w:ilvl w:val="0"/>
          <w:numId w:val="1"/>
        </w:numPr>
        <w:spacing w:line="259" w:lineRule="auto"/>
      </w:pPr>
      <w:r w:rsidRPr="002154BB">
        <w:t>za osvojeno treće mjesto na državnom ili međunarodnom natjecanju –   3.000,00 kn</w:t>
      </w:r>
    </w:p>
    <w:p w14:paraId="16D27965" w14:textId="77777777" w:rsidR="00BC2BFD" w:rsidRPr="002154BB" w:rsidRDefault="00BC2BFD" w:rsidP="00BC2BFD">
      <w:pPr>
        <w:contextualSpacing/>
      </w:pPr>
    </w:p>
    <w:p w14:paraId="2387E206" w14:textId="77777777" w:rsidR="00BC2BFD" w:rsidRPr="002154BB" w:rsidRDefault="00BC2BFD" w:rsidP="00BC2BFD">
      <w:pPr>
        <w:numPr>
          <w:ilvl w:val="0"/>
          <w:numId w:val="1"/>
        </w:numPr>
        <w:spacing w:line="259" w:lineRule="auto"/>
      </w:pPr>
      <w:r w:rsidRPr="002154BB">
        <w:t xml:space="preserve">za znanstveno usavršavanje i znanstveno istraživanje – </w:t>
      </w:r>
      <w:proofErr w:type="spellStart"/>
      <w:r w:rsidRPr="002154BB">
        <w:t>max</w:t>
      </w:r>
      <w:proofErr w:type="spellEnd"/>
      <w:r w:rsidRPr="002154BB">
        <w:t xml:space="preserve"> 5.000,00 kn </w:t>
      </w:r>
    </w:p>
    <w:p w14:paraId="2EF6BADA" w14:textId="77777777" w:rsidR="00BC2BFD" w:rsidRPr="002154BB" w:rsidRDefault="00BC2BFD" w:rsidP="00BC2BFD">
      <w:pPr>
        <w:spacing w:line="259" w:lineRule="auto"/>
      </w:pPr>
      <w:r w:rsidRPr="002154BB">
        <w:t xml:space="preserve"> </w:t>
      </w:r>
    </w:p>
    <w:p w14:paraId="4A6AF94A" w14:textId="77777777" w:rsidR="00BC2BFD" w:rsidRPr="002154BB" w:rsidRDefault="00BC2BFD" w:rsidP="00BC2BFD">
      <w:pPr>
        <w:spacing w:line="259" w:lineRule="auto"/>
      </w:pPr>
      <w:r w:rsidRPr="002154BB">
        <w:t xml:space="preserve">Navedeno pravo se može ostvariti na temelju zahtjeva podnesenog  najkasnije šest mjeseci od nastanka troška usavršavanja ili objave rezultata natjecanja uz prilaganje odgovarajućih dokaza. Odgovarajućim dokazima smatraju se dokazi o prebivalištu sukladno članku 2. ove odluke te dokazi o rezultatima natjecanja, odnosno dokazi o nastalim troškovima </w:t>
      </w:r>
      <w:proofErr w:type="spellStart"/>
      <w:r w:rsidRPr="002154BB">
        <w:t>znanastvenog</w:t>
      </w:r>
      <w:proofErr w:type="spellEnd"/>
      <w:r w:rsidRPr="002154BB">
        <w:t xml:space="preserve"> usavršavanja ili istraživanja.</w:t>
      </w:r>
    </w:p>
    <w:p w14:paraId="04EA594A" w14:textId="77777777" w:rsidR="00BC2BFD" w:rsidRDefault="00BC2BFD" w:rsidP="00BC2BFD">
      <w:pPr>
        <w:spacing w:line="259" w:lineRule="auto"/>
      </w:pPr>
    </w:p>
    <w:p w14:paraId="2D701159" w14:textId="77777777" w:rsidR="00BC2BFD" w:rsidRPr="00A2685E" w:rsidRDefault="00BC2BFD" w:rsidP="00BC2BFD">
      <w:pPr>
        <w:numPr>
          <w:ilvl w:val="0"/>
          <w:numId w:val="2"/>
        </w:numPr>
        <w:spacing w:line="240" w:lineRule="auto"/>
        <w:rPr>
          <w:rFonts w:eastAsia="Calibri"/>
          <w:bCs/>
          <w:color w:val="4472C4"/>
        </w:rPr>
      </w:pPr>
      <w:r w:rsidRPr="00A2685E">
        <w:rPr>
          <w:rFonts w:eastAsia="Calibri"/>
          <w:bCs/>
          <w:color w:val="4472C4"/>
        </w:rPr>
        <w:t xml:space="preserve">Omogućeno je posebno pravo na jednokratnu pomoć koju može ostvariti hrvatski branitelj u slučaju smrti užeg člana obitelji. Navedeno je definirano  člankom 64. kako </w:t>
      </w:r>
      <w:proofErr w:type="spellStart"/>
      <w:r w:rsidRPr="00A2685E">
        <w:rPr>
          <w:rFonts w:eastAsia="Calibri"/>
          <w:bCs/>
          <w:color w:val="4472C4"/>
        </w:rPr>
        <w:t>sljedi</w:t>
      </w:r>
      <w:proofErr w:type="spellEnd"/>
      <w:r w:rsidRPr="00A2685E">
        <w:rPr>
          <w:rFonts w:eastAsia="Calibri"/>
          <w:bCs/>
          <w:color w:val="4472C4"/>
        </w:rPr>
        <w:t>:</w:t>
      </w:r>
    </w:p>
    <w:p w14:paraId="3F565647" w14:textId="77777777" w:rsidR="00BC2BFD" w:rsidRPr="00352F43" w:rsidRDefault="00BC2BFD" w:rsidP="00BC2BFD">
      <w:pPr>
        <w:ind w:left="720"/>
        <w:rPr>
          <w:rFonts w:eastAsia="Calibri"/>
          <w:bCs/>
        </w:rPr>
      </w:pPr>
    </w:p>
    <w:p w14:paraId="6E38BE8D" w14:textId="77777777" w:rsidR="00BC2BFD" w:rsidRDefault="00BC2BFD" w:rsidP="00BC2BFD">
      <w:pPr>
        <w:jc w:val="center"/>
        <w:rPr>
          <w:rFonts w:eastAsia="Calibri"/>
          <w:b/>
        </w:rPr>
      </w:pPr>
    </w:p>
    <w:p w14:paraId="11F3227C" w14:textId="77777777" w:rsidR="00BC2BFD" w:rsidRDefault="00BC2BFD" w:rsidP="00BC2BFD">
      <w:pPr>
        <w:jc w:val="center"/>
        <w:rPr>
          <w:rFonts w:eastAsia="Calibri"/>
          <w:b/>
        </w:rPr>
      </w:pPr>
    </w:p>
    <w:p w14:paraId="377E9AE1" w14:textId="77777777" w:rsidR="00BC2BFD" w:rsidRDefault="00BC2BFD" w:rsidP="00BC2BFD">
      <w:pPr>
        <w:jc w:val="center"/>
        <w:rPr>
          <w:rFonts w:eastAsia="Calibri"/>
          <w:b/>
        </w:rPr>
      </w:pPr>
    </w:p>
    <w:p w14:paraId="0F088D8C" w14:textId="77777777" w:rsidR="00BC2BFD" w:rsidRPr="00E84A44" w:rsidRDefault="00BC2BFD" w:rsidP="00BC2BFD">
      <w:pPr>
        <w:jc w:val="center"/>
        <w:rPr>
          <w:rFonts w:eastAsia="Calibri"/>
          <w:b/>
        </w:rPr>
      </w:pPr>
      <w:r w:rsidRPr="00E84A44">
        <w:rPr>
          <w:rFonts w:eastAsia="Calibri"/>
          <w:b/>
        </w:rPr>
        <w:t>Članak 6</w:t>
      </w:r>
      <w:r>
        <w:rPr>
          <w:rFonts w:eastAsia="Calibri"/>
          <w:b/>
        </w:rPr>
        <w:t>4</w:t>
      </w:r>
      <w:r w:rsidRPr="00E84A44">
        <w:rPr>
          <w:rFonts w:eastAsia="Calibri"/>
          <w:b/>
        </w:rPr>
        <w:t>.</w:t>
      </w:r>
    </w:p>
    <w:p w14:paraId="562AE53C" w14:textId="77777777" w:rsidR="00BC2BFD" w:rsidRPr="00730001" w:rsidRDefault="00BC2BFD" w:rsidP="00BC2BFD">
      <w:pPr>
        <w:keepNext/>
        <w:keepLines/>
        <w:spacing w:line="259" w:lineRule="auto"/>
        <w:ind w:left="10" w:right="7" w:hanging="10"/>
        <w:outlineLvl w:val="1"/>
        <w:rPr>
          <w:bCs/>
        </w:rPr>
      </w:pPr>
      <w:r w:rsidRPr="00F87079">
        <w:rPr>
          <w:rFonts w:eastAsia="Calibri"/>
          <w:bCs/>
        </w:rPr>
        <w:t>Iznimno, neovisno o ispunjenju uvjeta navedenih u članku 59. ove Odluke, pravo na jednokratnu novčanu pomoć može ostvariti i korisnik iz Podstrane koji je hrvatski branitelj, ali samo u slučaju smrti člana uže obitelji. Članom uže obitelji, u ovom slučaju, smatraju se supružnici i djeca. Ovo pravo se može ostvariti neovisno o pravima hrvatskih branitelja prema Zakonu o hrvatskim braniteljima iz Domovinskog rata i članovima njihovih obitelji (</w:t>
      </w:r>
      <w:r w:rsidRPr="00F87079">
        <w:rPr>
          <w:bCs/>
        </w:rPr>
        <w:t>NN </w:t>
      </w:r>
      <w:hyperlink r:id="rId5" w:tgtFrame="_blank" w:history="1">
        <w:r w:rsidRPr="00F87079">
          <w:rPr>
            <w:bCs/>
            <w:u w:val="single"/>
          </w:rPr>
          <w:t>121/17</w:t>
        </w:r>
      </w:hyperlink>
      <w:r w:rsidRPr="00F87079">
        <w:rPr>
          <w:bCs/>
        </w:rPr>
        <w:t xml:space="preserve">, </w:t>
      </w:r>
      <w:hyperlink r:id="rId6" w:tgtFrame="_blank" w:history="1">
        <w:r w:rsidRPr="00F87079">
          <w:rPr>
            <w:bCs/>
            <w:u w:val="single"/>
          </w:rPr>
          <w:t>98/19</w:t>
        </w:r>
      </w:hyperlink>
      <w:r w:rsidRPr="00F87079">
        <w:rPr>
          <w:bCs/>
        </w:rPr>
        <w:t xml:space="preserve">, </w:t>
      </w:r>
      <w:hyperlink r:id="rId7" w:tgtFrame="_blank" w:history="1">
        <w:r w:rsidRPr="00F87079">
          <w:rPr>
            <w:bCs/>
            <w:u w:val="single"/>
          </w:rPr>
          <w:t>84/21</w:t>
        </w:r>
      </w:hyperlink>
      <w:r w:rsidRPr="00F87079">
        <w:rPr>
          <w:bCs/>
        </w:rPr>
        <w:t xml:space="preserve">) i Zakonu o izmjenama i dopunama Zakona o hrvatskim braniteljima iz Domovinskog rata i članovima njihovih obitelji </w:t>
      </w:r>
      <w:r w:rsidRPr="00F87079">
        <w:rPr>
          <w:rFonts w:eastAsia="Calibri"/>
          <w:bCs/>
        </w:rPr>
        <w:t>(</w:t>
      </w:r>
      <w:r w:rsidRPr="00F87079">
        <w:rPr>
          <w:bCs/>
        </w:rPr>
        <w:t xml:space="preserve">NN 84/21). </w:t>
      </w:r>
      <w:r w:rsidRPr="00F87079">
        <w:rPr>
          <w:rFonts w:eastAsia="Calibri"/>
          <w:bCs/>
        </w:rPr>
        <w:t xml:space="preserve">Visina jednokratne pomoći u navedenom slučaju može iznositi maksimalno 10.000,00 </w:t>
      </w:r>
      <w:r w:rsidRPr="00B071BD">
        <w:rPr>
          <w:rFonts w:eastAsia="Calibri"/>
          <w:bCs/>
        </w:rPr>
        <w:t>kuna.</w:t>
      </w:r>
      <w:r w:rsidRPr="00730001">
        <w:rPr>
          <w:rFonts w:eastAsia="Calibri"/>
          <w:bCs/>
        </w:rPr>
        <w:t xml:space="preserve"> Navedeno pravo moguće je ostvariti na temelju podnesenog zahtjeva s pripadajućim dokazima, a najkasnije u roku 6 mjeseci od nastanka smrtnog slučaja.</w:t>
      </w:r>
    </w:p>
    <w:p w14:paraId="46A92389" w14:textId="77777777" w:rsidR="00BC2BFD" w:rsidRDefault="00BC2BFD" w:rsidP="00BC2BFD"/>
    <w:p w14:paraId="61C51875" w14:textId="77777777" w:rsidR="00BC2BFD" w:rsidRDefault="00BC2BFD" w:rsidP="00BC2BFD"/>
    <w:p w14:paraId="61482A9A" w14:textId="77777777" w:rsidR="00BC2BFD" w:rsidRPr="00A2685E" w:rsidRDefault="00BC2BFD" w:rsidP="00BC2BFD">
      <w:pPr>
        <w:numPr>
          <w:ilvl w:val="0"/>
          <w:numId w:val="2"/>
        </w:numPr>
        <w:spacing w:line="240" w:lineRule="auto"/>
        <w:rPr>
          <w:color w:val="4472C4"/>
        </w:rPr>
      </w:pPr>
      <w:r w:rsidRPr="00A2685E">
        <w:rPr>
          <w:color w:val="4472C4"/>
        </w:rPr>
        <w:t>U članku 57. definirano je da Općina Podstrana  može osigurati prijevoz djeci s poteškoćama u specijalne školske ustanove s obzirom da se ova usluga ranije realizirala preko Udruge Agape iz Omiša koja bi se financirala preko Natječaja za financiranje udruga, a to više nije slučaj.</w:t>
      </w:r>
    </w:p>
    <w:p w14:paraId="28973794" w14:textId="77777777" w:rsidR="00BC2BFD" w:rsidRDefault="00BC2BFD" w:rsidP="00BC2BFD">
      <w:pPr>
        <w:ind w:left="1080"/>
      </w:pPr>
      <w:r>
        <w:t xml:space="preserve"> </w:t>
      </w:r>
    </w:p>
    <w:p w14:paraId="4C3BF63E" w14:textId="77777777" w:rsidR="00BC2BFD" w:rsidRPr="00CA7F2D" w:rsidRDefault="00BC2BFD" w:rsidP="00BC2BFD">
      <w:pPr>
        <w:spacing w:line="259" w:lineRule="auto"/>
        <w:jc w:val="center"/>
      </w:pPr>
      <w:r w:rsidRPr="00CA7F2D">
        <w:rPr>
          <w:b/>
        </w:rPr>
        <w:t>Članak 57.</w:t>
      </w:r>
    </w:p>
    <w:p w14:paraId="33627B52" w14:textId="77777777" w:rsidR="00BC2BFD" w:rsidRPr="00E84A44" w:rsidRDefault="00BC2BFD" w:rsidP="00BC2BFD">
      <w:r w:rsidRPr="00CA7F2D">
        <w:t>Općina Podstrana, sukladno mogućnostima, može osigurati redovni prijevoz u specijalne školske ustanove u Gradu Splitu, djeci sa poteškoćama koja iste pohađaju. Prijevoz se vrši specijalnim vozilom prilagođenim osobama s invaliditetom. Navedenim vozilom se također, sukladno raspoloživosti, može omogućiti i povremeni prijevoz odraslim osobama s invaliditetom.</w:t>
      </w:r>
      <w:r w:rsidRPr="00E84A44">
        <w:t xml:space="preserve"> </w:t>
      </w:r>
    </w:p>
    <w:p w14:paraId="6421C79D" w14:textId="77777777" w:rsidR="00BC2BFD" w:rsidRDefault="00BC2BFD" w:rsidP="00BC2BFD"/>
    <w:p w14:paraId="7EF3AF2B" w14:textId="77777777" w:rsidR="00BC2BFD" w:rsidRDefault="00BC2BFD" w:rsidP="00BC2BFD">
      <w:pPr>
        <w:pStyle w:val="ListParagraph"/>
        <w:ind w:left="0"/>
      </w:pPr>
    </w:p>
    <w:p w14:paraId="6593FC5B" w14:textId="77777777" w:rsidR="00BC2BFD" w:rsidRDefault="00BC2BFD" w:rsidP="00BC2BFD">
      <w:pPr>
        <w:pStyle w:val="ListParagraph"/>
      </w:pPr>
    </w:p>
    <w:p w14:paraId="79451316" w14:textId="77777777" w:rsidR="00BC2BFD" w:rsidRPr="00A2685E" w:rsidRDefault="00BC2BFD" w:rsidP="00BC2BFD">
      <w:pPr>
        <w:numPr>
          <w:ilvl w:val="0"/>
          <w:numId w:val="2"/>
        </w:numPr>
        <w:spacing w:line="240" w:lineRule="auto"/>
        <w:rPr>
          <w:color w:val="4472C4"/>
        </w:rPr>
      </w:pPr>
      <w:r w:rsidRPr="00A2685E">
        <w:rPr>
          <w:color w:val="4472C4"/>
        </w:rPr>
        <w:t xml:space="preserve">Vezano za troškove prijevoza koji su definirani u poglavlju 7 Odluke, odnosno sufinanciranje pokaznih karata, dodana je izmjena  koja se odnosi na sufinanciranje pokaznih karata studentima na način da će, od  sljedeće akademske godine, cijena pokazne karte za studente iznositi </w:t>
      </w:r>
      <w:r w:rsidRPr="00A2685E">
        <w:rPr>
          <w:b/>
          <w:bCs/>
          <w:color w:val="4472C4"/>
        </w:rPr>
        <w:t>100,00 kn mjesečno</w:t>
      </w:r>
      <w:r w:rsidRPr="00A2685E">
        <w:rPr>
          <w:color w:val="4472C4"/>
        </w:rPr>
        <w:t xml:space="preserve">, a preostali iznos do pune cijene pokazne karte će sufinancirati Općina Podstrana. Do sada su studenti plaćali 190,00 kn mjesečno tako da im se sada smanjuje cijena za oko 47%. </w:t>
      </w:r>
    </w:p>
    <w:p w14:paraId="69FA1FA3" w14:textId="77777777" w:rsidR="00BC2BFD" w:rsidRDefault="00BC2BFD" w:rsidP="00BC2BFD">
      <w:pPr>
        <w:pStyle w:val="ListParagraph"/>
      </w:pPr>
    </w:p>
    <w:p w14:paraId="3B9C98BE" w14:textId="77777777" w:rsidR="00BC2BFD" w:rsidRDefault="00BC2BFD" w:rsidP="00BC2BFD">
      <w:pPr>
        <w:pStyle w:val="ListParagraph"/>
        <w:ind w:firstLine="0"/>
      </w:pPr>
      <w:r>
        <w:t xml:space="preserve">Sve druge izmjene u novoj Odluci o socijalnoj skrbi nisu značajne ili su samo korektivne prirode kako bi bilo jasnije. </w:t>
      </w:r>
    </w:p>
    <w:p w14:paraId="019C736A" w14:textId="77777777" w:rsidR="00BC2BFD" w:rsidRDefault="00BC2BFD" w:rsidP="00BC2BFD">
      <w:pPr>
        <w:ind w:left="720"/>
      </w:pPr>
      <w:r>
        <w:t xml:space="preserve"> </w:t>
      </w:r>
    </w:p>
    <w:p w14:paraId="6A045A6F" w14:textId="77777777" w:rsidR="00BC2BFD" w:rsidRDefault="00BC2BFD" w:rsidP="00BC2BFD">
      <w:pPr>
        <w:ind w:left="0" w:firstLine="0"/>
        <w:rPr>
          <w:color w:val="auto"/>
        </w:rPr>
      </w:pPr>
    </w:p>
    <w:p w14:paraId="08AF1310" w14:textId="77777777" w:rsidR="00CE0FB2" w:rsidRDefault="00CE0FB2"/>
    <w:sectPr w:rsidR="00CE0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D4858"/>
    <w:multiLevelType w:val="hybridMultilevel"/>
    <w:tmpl w:val="1FE633B6"/>
    <w:lvl w:ilvl="0" w:tplc="99FE2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F0EB6"/>
    <w:multiLevelType w:val="hybridMultilevel"/>
    <w:tmpl w:val="4642AF60"/>
    <w:lvl w:ilvl="0" w:tplc="E004B60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1731984">
    <w:abstractNumId w:val="0"/>
  </w:num>
  <w:num w:numId="2" w16cid:durableId="1445999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E8"/>
    <w:rsid w:val="00061F1E"/>
    <w:rsid w:val="007A6BE8"/>
    <w:rsid w:val="00BC2BFD"/>
    <w:rsid w:val="00CE0FB2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A5440-62C0-4090-A5B8-D4AFBC72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BFD"/>
    <w:pPr>
      <w:spacing w:after="0" w:line="249" w:lineRule="auto"/>
      <w:ind w:left="283" w:firstLine="273"/>
      <w:jc w:val="both"/>
    </w:pPr>
    <w:rPr>
      <w:rFonts w:ascii="Times New Roman" w:eastAsia="Times New Roman" w:hAnsi="Times New Roman" w:cs="Times New Roman"/>
      <w:color w:val="000000"/>
      <w:sz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95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0893" TargetMode="External"/><Relationship Id="rId5" Type="http://schemas.openxmlformats.org/officeDocument/2006/relationships/hyperlink" Target="https://www.zakon.hr/cms.htm?id=408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2</cp:revision>
  <dcterms:created xsi:type="dcterms:W3CDTF">2022-05-19T13:26:00Z</dcterms:created>
  <dcterms:modified xsi:type="dcterms:W3CDTF">2022-05-19T13:26:00Z</dcterms:modified>
</cp:coreProperties>
</file>